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7</w:t>
      </w:r>
      <w:r>
        <w:rPr>
          <w:rFonts w:hint="default" w:cs="Arial"/>
          <w:bCs/>
          <w:sz w:val="22"/>
          <w:szCs w:val="22"/>
          <w:lang w:val="en-US" w:eastAsia="zh-CN"/>
        </w:rPr>
        <w:t>bis</w:t>
      </w:r>
      <w:r>
        <w:rPr>
          <w:rFonts w:hint="eastAsia" w:cs="Arial"/>
          <w:bCs/>
          <w:sz w:val="22"/>
          <w:szCs w:val="22"/>
          <w:lang w:val="en-US" w:eastAsia="zh-CN"/>
        </w:rPr>
        <w:t>-e</w:t>
      </w:r>
      <w:r>
        <w:rPr>
          <w:rFonts w:hint="eastAsia" w:cs="Arial"/>
          <w:bCs/>
          <w:sz w:val="22"/>
          <w:szCs w:val="22"/>
          <w:lang w:eastAsia="zh-CN"/>
        </w:rPr>
        <w:t xml:space="preserve">                                           </w:t>
      </w:r>
      <w:r>
        <w:rPr>
          <w:rFonts w:hint="eastAsia" w:cs="Arial"/>
          <w:bCs/>
          <w:sz w:val="22"/>
          <w:szCs w:val="22"/>
          <w:lang w:val="en-US" w:eastAsia="zh-CN"/>
        </w:rPr>
        <w:t xml:space="preserve">   </w:t>
      </w:r>
      <w:r>
        <w:rPr>
          <w:rFonts w:hint="default" w:cs="Arial"/>
          <w:bCs/>
          <w:sz w:val="22"/>
          <w:szCs w:val="22"/>
          <w:lang w:val="en-US" w:eastAsia="zh-CN"/>
        </w:rPr>
        <w:t xml:space="preserve"> </w:t>
      </w:r>
      <w:r>
        <w:rPr>
          <w:rFonts w:hint="eastAsia" w:cs="Arial"/>
          <w:bCs/>
          <w:sz w:val="22"/>
          <w:szCs w:val="22"/>
          <w:lang w:val="en-US" w:eastAsia="zh-CN"/>
        </w:rPr>
        <w:t>R1-2200113</w:t>
      </w:r>
    </w:p>
    <w:p>
      <w:pPr>
        <w:tabs>
          <w:tab w:val="center" w:pos="4536"/>
          <w:tab w:val="right" w:pos="9072"/>
        </w:tabs>
        <w:rPr>
          <w:rFonts w:ascii="Arial" w:hAnsi="Arial" w:eastAsia="MS Mincho" w:cs="Arial"/>
          <w:b/>
          <w:bCs/>
          <w:sz w:val="22"/>
          <w:szCs w:val="22"/>
          <w:lang w:eastAsia="ja-JP"/>
        </w:rPr>
      </w:pPr>
      <w:r>
        <w:rPr>
          <w:rFonts w:ascii="Arial" w:hAnsi="Arial" w:eastAsia="MS Mincho" w:cs="Arial"/>
          <w:b/>
          <w:bCs/>
          <w:sz w:val="22"/>
          <w:szCs w:val="22"/>
          <w:lang w:eastAsia="ja-JP"/>
        </w:rPr>
        <w:t xml:space="preserve">e-Meeting, </w:t>
      </w:r>
      <w:r>
        <w:rPr>
          <w:rFonts w:hint="default" w:ascii="Arial" w:hAnsi="Arial" w:eastAsia="宋体" w:cs="Arial"/>
          <w:b/>
          <w:sz w:val="22"/>
          <w:szCs w:val="22"/>
          <w:lang w:eastAsia="zh-CN"/>
        </w:rPr>
        <w:t>January 17</w:t>
      </w:r>
      <w:r>
        <w:rPr>
          <w:rFonts w:hint="default" w:ascii="Arial" w:hAnsi="Arial" w:eastAsia="宋体" w:cs="Arial"/>
          <w:b/>
          <w:sz w:val="22"/>
          <w:szCs w:val="22"/>
          <w:vertAlign w:val="superscript"/>
          <w:lang w:eastAsia="zh-CN"/>
        </w:rPr>
        <w:t>th</w:t>
      </w:r>
      <w:r>
        <w:rPr>
          <w:rFonts w:hint="default" w:ascii="Arial" w:hAnsi="Arial" w:eastAsia="宋体" w:cs="Arial"/>
          <w:b/>
          <w:sz w:val="22"/>
          <w:szCs w:val="22"/>
          <w:lang w:eastAsia="zh-CN"/>
        </w:rPr>
        <w:t xml:space="preserve"> – 25</w:t>
      </w:r>
      <w:r>
        <w:rPr>
          <w:rFonts w:hint="default" w:ascii="Arial" w:hAnsi="Arial" w:eastAsia="宋体" w:cs="Arial"/>
          <w:b/>
          <w:sz w:val="22"/>
          <w:szCs w:val="22"/>
          <w:vertAlign w:val="superscript"/>
          <w:lang w:eastAsia="zh-CN"/>
        </w:rPr>
        <w:t>th</w:t>
      </w:r>
      <w:r>
        <w:rPr>
          <w:rFonts w:hint="default" w:ascii="Arial" w:hAnsi="Arial" w:eastAsia="宋体" w:cs="Arial"/>
          <w:b/>
          <w:sz w:val="22"/>
          <w:szCs w:val="22"/>
          <w:lang w:eastAsia="zh-CN"/>
        </w:rPr>
        <w:t>, 2022</w:t>
      </w:r>
    </w:p>
    <w:p>
      <w:pPr>
        <w:tabs>
          <w:tab w:val="center" w:pos="4536"/>
          <w:tab w:val="right" w:pos="9072"/>
        </w:tabs>
      </w:pP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hint="default" w:ascii="Arial" w:hAnsi="Arial"/>
          <w:b/>
          <w:lang w:val="en-US"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remaining issues for joint channel estimation for PUSCH</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8.1.3</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bidi w:val="0"/>
      </w:pPr>
      <w:r>
        <w:rPr>
          <w:rFonts w:hint="eastAsia"/>
          <w:lang w:val="en-US" w:eastAsia="zh-CN"/>
        </w:rPr>
        <w:t>In RAN1#10</w:t>
      </w:r>
      <w:r>
        <w:rPr>
          <w:rFonts w:hint="default"/>
          <w:lang w:val="en-US" w:eastAsia="zh-CN"/>
        </w:rPr>
        <w:t>7</w:t>
      </w:r>
      <w:r>
        <w:rPr>
          <w:rFonts w:hint="eastAsia"/>
          <w:lang w:val="en-US" w:eastAsia="zh-CN"/>
        </w:rPr>
        <w:t xml:space="preserve">-e, </w:t>
      </w:r>
      <w:r>
        <w:rPr>
          <w:rFonts w:hint="default" w:ascii="Times New Roman" w:hAnsi="Times New Roman" w:cs="Times New Roman"/>
          <w:color w:val="auto"/>
          <w:sz w:val="20"/>
          <w:szCs w:val="20"/>
          <w:lang w:eastAsia="ko-KR"/>
        </w:rPr>
        <w:t>joint channel estimation for PUSCH</w:t>
      </w:r>
      <w:r>
        <w:rPr>
          <w:rFonts w:hint="eastAsia"/>
          <w:lang w:val="en-US" w:eastAsia="zh-CN"/>
        </w:rPr>
        <w:t xml:space="preserve"> was discussed with reaching the following agreements [1][2].  </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kinsoku/>
              <w:wordWrap/>
              <w:topLinePunct w:val="0"/>
              <w:autoSpaceDE w:val="0"/>
              <w:autoSpaceDN w:val="0"/>
              <w:bidi w:val="0"/>
              <w:adjustRightInd w:val="0"/>
              <w:snapToGrid w:val="0"/>
              <w:spacing w:before="120" w:after="0" w:line="280" w:lineRule="atLeast"/>
              <w:rPr>
                <w:rFonts w:ascii="Times New Roman" w:hAnsi="Times New Roman"/>
                <w:b/>
                <w:highlight w:val="darkYellow"/>
              </w:rPr>
            </w:pPr>
            <w:r>
              <w:rPr>
                <w:rFonts w:ascii="Times New Roman" w:hAnsi="Times New Roman"/>
                <w:b/>
                <w:highlight w:val="darkYellow"/>
              </w:rPr>
              <w:t>Working assumption:</w:t>
            </w:r>
          </w:p>
          <w:p>
            <w:pPr>
              <w:pStyle w:val="114"/>
              <w:keepNext w:val="0"/>
              <w:keepLines w:val="0"/>
              <w:pageBreakBefore w:val="0"/>
              <w:widowControl/>
              <w:numPr>
                <w:ilvl w:val="0"/>
                <w:numId w:val="10"/>
              </w:numPr>
              <w:kinsoku/>
              <w:wordWrap/>
              <w:topLinePunct w:val="0"/>
              <w:autoSpaceDE w:val="0"/>
              <w:autoSpaceDN w:val="0"/>
              <w:bidi w:val="0"/>
              <w:adjustRightInd w:val="0"/>
              <w:snapToGrid w:val="0"/>
              <w:spacing w:before="120" w:after="0" w:line="259" w:lineRule="auto"/>
              <w:ind w:leftChars="0"/>
              <w:jc w:val="both"/>
              <w:rPr>
                <w:sz w:val="21"/>
                <w:szCs w:val="21"/>
                <w:lang w:eastAsia="zh-CN"/>
              </w:rPr>
            </w:pPr>
            <w:r>
              <w:rPr>
                <w:sz w:val="21"/>
                <w:szCs w:val="21"/>
                <w:lang w:eastAsia="zh-CN"/>
              </w:rPr>
              <w:t>The action of group common TPC commands with format 2_2 does not constitute an event that violates power consistency and phase continuity.</w:t>
            </w:r>
          </w:p>
          <w:p>
            <w:pPr>
              <w:pStyle w:val="114"/>
              <w:keepNext w:val="0"/>
              <w:keepLines w:val="0"/>
              <w:pageBreakBefore w:val="0"/>
              <w:widowControl/>
              <w:numPr>
                <w:ilvl w:val="1"/>
                <w:numId w:val="11"/>
              </w:numPr>
              <w:kinsoku/>
              <w:wordWrap/>
              <w:topLinePunct w:val="0"/>
              <w:autoSpaceDE w:val="0"/>
              <w:autoSpaceDN w:val="0"/>
              <w:bidi w:val="0"/>
              <w:adjustRightInd w:val="0"/>
              <w:snapToGrid w:val="0"/>
              <w:spacing w:before="120" w:after="0" w:line="280" w:lineRule="atLeast"/>
              <w:ind w:left="780" w:leftChars="0"/>
              <w:jc w:val="both"/>
              <w:rPr>
                <w:sz w:val="21"/>
                <w:szCs w:val="21"/>
              </w:rPr>
            </w:pPr>
            <w:r>
              <w:rPr>
                <w:sz w:val="21"/>
                <w:szCs w:val="21"/>
                <w:lang w:eastAsia="zh-CN"/>
              </w:rPr>
              <w:t xml:space="preserve">If UE is configured to </w:t>
            </w:r>
            <w:r>
              <w:rPr>
                <w:bCs/>
                <w:sz w:val="21"/>
                <w:szCs w:val="21"/>
              </w:rPr>
              <w:t>accumulate TPC commands,</w:t>
            </w:r>
          </w:p>
          <w:p>
            <w:pPr>
              <w:keepNext w:val="0"/>
              <w:keepLines w:val="0"/>
              <w:pageBreakBefore w:val="0"/>
              <w:widowControl/>
              <w:numPr>
                <w:ilvl w:val="2"/>
                <w:numId w:val="12"/>
              </w:numPr>
              <w:kinsoku/>
              <w:wordWrap/>
              <w:topLinePunct w:val="0"/>
              <w:autoSpaceDE w:val="0"/>
              <w:autoSpaceDN w:val="0"/>
              <w:bidi w:val="0"/>
              <w:adjustRightInd w:val="0"/>
              <w:snapToGrid w:val="0"/>
              <w:spacing w:before="120" w:after="0" w:line="280" w:lineRule="atLeast"/>
              <w:jc w:val="both"/>
              <w:rPr>
                <w:rFonts w:ascii="Times New Roman" w:hAnsi="Times New Roman" w:eastAsia="宋体"/>
                <w:szCs w:val="21"/>
              </w:rPr>
            </w:pPr>
            <w:r>
              <w:rPr>
                <w:rFonts w:ascii="Times New Roman" w:hAnsi="Times New Roman" w:eastAsia="宋体"/>
                <w:szCs w:val="21"/>
              </w:rPr>
              <w:t>If UE receives TPC commands that would take into effect during a configured TDW, UE accumulates TPC commands without taking effect during the current configured TDW. TPC commands take effect after the current configured TDW.</w:t>
            </w:r>
          </w:p>
          <w:p>
            <w:pPr>
              <w:pStyle w:val="114"/>
              <w:keepNext w:val="0"/>
              <w:keepLines w:val="0"/>
              <w:pageBreakBefore w:val="0"/>
              <w:widowControl/>
              <w:numPr>
                <w:ilvl w:val="1"/>
                <w:numId w:val="11"/>
              </w:numPr>
              <w:kinsoku/>
              <w:wordWrap/>
              <w:topLinePunct w:val="0"/>
              <w:autoSpaceDE w:val="0"/>
              <w:autoSpaceDN w:val="0"/>
              <w:bidi w:val="0"/>
              <w:adjustRightInd w:val="0"/>
              <w:snapToGrid w:val="0"/>
              <w:spacing w:before="120" w:after="0" w:line="280" w:lineRule="atLeast"/>
              <w:ind w:left="780" w:leftChars="0"/>
              <w:jc w:val="both"/>
              <w:rPr>
                <w:sz w:val="21"/>
                <w:szCs w:val="21"/>
                <w:lang w:eastAsia="zh-CN"/>
              </w:rPr>
            </w:pPr>
            <w:r>
              <w:rPr>
                <w:sz w:val="21"/>
                <w:szCs w:val="21"/>
                <w:lang w:eastAsia="zh-CN"/>
              </w:rPr>
              <w:t>If UE is not configured to accumulate TPC commands</w:t>
            </w:r>
          </w:p>
          <w:p>
            <w:pPr>
              <w:keepNext w:val="0"/>
              <w:keepLines w:val="0"/>
              <w:pageBreakBefore w:val="0"/>
              <w:widowControl/>
              <w:numPr>
                <w:ilvl w:val="2"/>
                <w:numId w:val="12"/>
              </w:numPr>
              <w:kinsoku/>
              <w:wordWrap/>
              <w:topLinePunct w:val="0"/>
              <w:autoSpaceDE w:val="0"/>
              <w:autoSpaceDN w:val="0"/>
              <w:bidi w:val="0"/>
              <w:adjustRightInd w:val="0"/>
              <w:snapToGrid w:val="0"/>
              <w:spacing w:before="120" w:after="0" w:line="280" w:lineRule="atLeast"/>
              <w:jc w:val="both"/>
              <w:rPr>
                <w:rFonts w:ascii="Times New Roman" w:hAnsi="Times New Roman" w:eastAsia="宋体"/>
                <w:szCs w:val="21"/>
              </w:rPr>
            </w:pPr>
            <w:r>
              <w:rPr>
                <w:rFonts w:ascii="Times New Roman" w:hAnsi="Times New Roman" w:eastAsia="宋体"/>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pPr>
              <w:keepNext w:val="0"/>
              <w:keepLines w:val="0"/>
              <w:pageBreakBefore w:val="0"/>
              <w:widowControl/>
              <w:numPr>
                <w:ilvl w:val="3"/>
                <w:numId w:val="12"/>
              </w:numPr>
              <w:kinsoku/>
              <w:wordWrap/>
              <w:topLinePunct w:val="0"/>
              <w:autoSpaceDE w:val="0"/>
              <w:autoSpaceDN w:val="0"/>
              <w:bidi w:val="0"/>
              <w:adjustRightInd w:val="0"/>
              <w:snapToGrid w:val="0"/>
              <w:spacing w:before="120" w:after="0" w:line="280" w:lineRule="atLeast"/>
              <w:jc w:val="both"/>
              <w:rPr>
                <w:rFonts w:ascii="Times New Roman" w:hAnsi="Times New Roman" w:eastAsia="宋体"/>
                <w:szCs w:val="21"/>
              </w:rPr>
            </w:pPr>
            <w:r>
              <w:rPr>
                <w:rFonts w:ascii="Times New Roman" w:hAnsi="Times New Roman" w:eastAsia="宋体"/>
                <w:szCs w:val="21"/>
              </w:rPr>
              <w:t>FFS: no more than 1 TPC command is expected to take effect during a configured TDW.</w:t>
            </w:r>
          </w:p>
          <w:p>
            <w:pPr>
              <w:keepNext w:val="0"/>
              <w:keepLines w:val="0"/>
              <w:pageBreakBefore w:val="0"/>
              <w:widowControl/>
              <w:kinsoku/>
              <w:wordWrap/>
              <w:topLinePunct w:val="0"/>
              <w:autoSpaceDE w:val="0"/>
              <w:autoSpaceDN w:val="0"/>
              <w:bidi w:val="0"/>
              <w:adjustRightInd w:val="0"/>
              <w:snapToGrid w:val="0"/>
              <w:spacing w:before="120" w:after="0" w:line="280" w:lineRule="atLeast"/>
              <w:rPr>
                <w:highlight w:val="cyan"/>
              </w:rPr>
            </w:pPr>
          </w:p>
          <w:p>
            <w:pPr>
              <w:keepNext w:val="0"/>
              <w:keepLines w:val="0"/>
              <w:pageBreakBefore w:val="0"/>
              <w:widowControl/>
              <w:shd w:val="clear" w:color="auto" w:fill="FFFFFF"/>
              <w:kinsoku/>
              <w:wordWrap/>
              <w:topLinePunct w:val="0"/>
              <w:autoSpaceDE w:val="0"/>
              <w:autoSpaceDN w:val="0"/>
              <w:bidi w:val="0"/>
              <w:adjustRightInd w:val="0"/>
              <w:snapToGrid w:val="0"/>
              <w:spacing w:before="120" w:after="0" w:line="280" w:lineRule="atLeast"/>
              <w:rPr>
                <w:rFonts w:ascii="Microsoft YaHei UI" w:hAnsi="Microsoft YaHei UI" w:eastAsia="Microsoft YaHei UI" w:cs="宋体"/>
                <w:color w:val="000000"/>
                <w:sz w:val="21"/>
                <w:szCs w:val="21"/>
                <w:lang w:val="en-US" w:eastAsia="zh-CN"/>
              </w:rPr>
            </w:pPr>
            <w:r>
              <w:rPr>
                <w:rFonts w:ascii="Times New Roman" w:hAnsi="Times New Roman" w:eastAsia="Microsoft YaHei UI"/>
                <w:b/>
                <w:bCs/>
                <w:color w:val="000000"/>
                <w:sz w:val="21"/>
                <w:szCs w:val="21"/>
                <w:shd w:val="clear" w:color="auto" w:fill="00FF00"/>
                <w:lang w:val="en-US" w:eastAsia="zh-CN"/>
              </w:rPr>
              <w:t>Agreement</w:t>
            </w:r>
          </w:p>
          <w:p>
            <w:pPr>
              <w:keepNext w:val="0"/>
              <w:keepLines w:val="0"/>
              <w:pageBreakBefore w:val="0"/>
              <w:widowControl/>
              <w:numPr>
                <w:ilvl w:val="0"/>
                <w:numId w:val="13"/>
              </w:numPr>
              <w:shd w:val="clear" w:color="auto" w:fill="FFFFFF"/>
              <w:kinsoku/>
              <w:wordWrap/>
              <w:topLinePunct w:val="0"/>
              <w:autoSpaceDE w:val="0"/>
              <w:autoSpaceDN w:val="0"/>
              <w:bidi w:val="0"/>
              <w:adjustRightInd w:val="0"/>
              <w:snapToGrid w:val="0"/>
              <w:spacing w:before="120" w:after="0" w:line="235" w:lineRule="atLeast"/>
              <w:jc w:val="both"/>
              <w:rPr>
                <w:rFonts w:ascii="Times New Roman" w:hAnsi="Times New Roman" w:eastAsia="宋体"/>
                <w:color w:val="000000"/>
                <w:sz w:val="21"/>
                <w:szCs w:val="21"/>
                <w:lang w:val="en-US" w:eastAsia="zh-CN"/>
              </w:rPr>
            </w:pPr>
            <w:r>
              <w:rPr>
                <w:rFonts w:ascii="Times New Roman" w:hAnsi="Times New Roman" w:eastAsia="宋体"/>
                <w:color w:val="000000"/>
                <w:sz w:val="21"/>
                <w:szCs w:val="21"/>
                <w:lang w:eastAsia="zh-CN"/>
              </w:rPr>
              <w:t>If DMRS bundling and UL beam switching for multi-TRP operation are configured simultaneously, UL beam switching for multi-TRP operation constitutes an event that violates power cons</w:t>
            </w:r>
            <w:r>
              <w:rPr>
                <w:rFonts w:ascii="Times New Roman" w:hAnsi="Times New Roman" w:eastAsia="宋体"/>
                <w:color w:val="000000"/>
                <w:sz w:val="21"/>
                <w:szCs w:val="21"/>
                <w:lang w:val="en-US" w:eastAsia="zh-CN"/>
              </w:rPr>
              <w:t>istency and phase continuity.</w:t>
            </w:r>
          </w:p>
          <w:p>
            <w:pPr>
              <w:keepNext w:val="0"/>
              <w:keepLines w:val="0"/>
              <w:pageBreakBefore w:val="0"/>
              <w:widowControl/>
              <w:numPr>
                <w:ilvl w:val="1"/>
                <w:numId w:val="13"/>
              </w:numPr>
              <w:shd w:val="clear" w:color="auto" w:fill="FFFFFF"/>
              <w:kinsoku/>
              <w:wordWrap/>
              <w:topLinePunct w:val="0"/>
              <w:autoSpaceDE w:val="0"/>
              <w:autoSpaceDN w:val="0"/>
              <w:bidi w:val="0"/>
              <w:adjustRightInd w:val="0"/>
              <w:snapToGrid w:val="0"/>
              <w:spacing w:before="120" w:after="0" w:line="235" w:lineRule="atLeast"/>
              <w:jc w:val="both"/>
              <w:rPr>
                <w:rFonts w:hint="eastAsia"/>
                <w:color w:val="auto"/>
                <w:highlight w:val="none"/>
                <w:vertAlign w:val="baseline"/>
                <w:lang w:eastAsia="zh-CN"/>
              </w:rPr>
            </w:pPr>
            <w:r>
              <w:rPr>
                <w:rFonts w:ascii="Times New Roman" w:hAnsi="Times New Roman" w:eastAsia="宋体"/>
                <w:color w:val="000000"/>
                <w:sz w:val="21"/>
                <w:szCs w:val="21"/>
                <w:lang w:eastAsia="zh-CN"/>
              </w:rPr>
              <w:t>FFS: UL beam switching for multi-TRP operation is regarded as a semi-static event.</w:t>
            </w:r>
          </w:p>
        </w:tc>
      </w:tr>
    </w:tbl>
    <w:p>
      <w:pPr>
        <w:keepNext w:val="0"/>
        <w:keepLines w:val="0"/>
        <w:pageBreakBefore w:val="0"/>
        <w:widowControl/>
        <w:kinsoku/>
        <w:wordWrap/>
        <w:overflowPunct w:val="0"/>
        <w:topLinePunct w:val="0"/>
        <w:autoSpaceDE w:val="0"/>
        <w:autoSpaceDN w:val="0"/>
        <w:bidi w:val="0"/>
        <w:adjustRightInd w:val="0"/>
        <w:snapToGrid w:val="0"/>
        <w:spacing w:before="137" w:beforeLines="50"/>
        <w:textAlignment w:val="baseline"/>
        <w:rPr>
          <w:rFonts w:hint="default"/>
          <w:highlight w:val="none"/>
          <w:lang w:val="en-US" w:eastAsia="zh-CN"/>
        </w:rPr>
      </w:pPr>
      <w:r>
        <w:rPr>
          <w:rFonts w:hint="eastAsia"/>
          <w:color w:val="auto"/>
          <w:highlight w:val="none"/>
          <w:lang w:eastAsia="zh-CN"/>
        </w:rPr>
        <w:t xml:space="preserve">In this contribution, we </w:t>
      </w:r>
      <w:r>
        <w:rPr>
          <w:rFonts w:hint="eastAsia"/>
          <w:color w:val="auto"/>
          <w:highlight w:val="none"/>
          <w:lang w:val="en-US" w:eastAsia="zh-CN"/>
        </w:rPr>
        <w:t>provide our</w:t>
      </w:r>
      <w:r>
        <w:rPr>
          <w:rFonts w:hint="default"/>
          <w:color w:val="auto"/>
          <w:highlight w:val="none"/>
          <w:lang w:val="en-US" w:eastAsia="zh-CN"/>
        </w:rPr>
        <w:t xml:space="preserve"> views</w:t>
      </w:r>
      <w:r>
        <w:rPr>
          <w:rStyle w:val="153"/>
          <w:rFonts w:eastAsia="宋体"/>
          <w:color w:val="auto"/>
        </w:rPr>
        <w:t xml:space="preserve"> </w:t>
      </w:r>
      <w:r>
        <w:rPr>
          <w:rFonts w:hint="eastAsia"/>
          <w:color w:val="auto"/>
          <w:highlight w:val="none"/>
          <w:lang w:val="en-US" w:eastAsia="zh-CN"/>
        </w:rPr>
        <w:t>on</w:t>
      </w:r>
      <w:r>
        <w:rPr>
          <w:rStyle w:val="153"/>
          <w:rFonts w:eastAsia="宋体"/>
          <w:color w:val="auto"/>
        </w:rPr>
        <w:t xml:space="preserve"> </w:t>
      </w:r>
      <w:r>
        <w:rPr>
          <w:rStyle w:val="153"/>
          <w:rFonts w:hint="default"/>
          <w:color w:val="auto"/>
          <w:lang w:val="en-US"/>
        </w:rPr>
        <w:t xml:space="preserve">the remaining issues for </w:t>
      </w:r>
      <w:r>
        <w:rPr>
          <w:rStyle w:val="153"/>
          <w:rFonts w:hint="eastAsia" w:eastAsia="宋体"/>
          <w:color w:val="auto"/>
          <w:lang w:val="en-US" w:eastAsia="zh-CN"/>
        </w:rPr>
        <w:t>joint channel e</w:t>
      </w:r>
      <w:r>
        <w:rPr>
          <w:rStyle w:val="153"/>
          <w:rFonts w:hint="eastAsia" w:eastAsia="宋体"/>
          <w:lang w:val="en-US" w:eastAsia="zh-CN"/>
        </w:rPr>
        <w:t>stimation for PUSCH</w:t>
      </w:r>
      <w:r>
        <w:rPr>
          <w:rFonts w:hint="eastAsia"/>
          <w:highlight w:val="none"/>
          <w:lang w:val="en-US" w:eastAsia="zh-CN"/>
        </w:rPr>
        <w:t>.</w:t>
      </w:r>
    </w:p>
    <w:p>
      <w:pPr>
        <w:pStyle w:val="2"/>
        <w:bidi w:val="0"/>
        <w:rPr>
          <w:rFonts w:hint="eastAsia"/>
          <w:lang w:val="en-US" w:eastAsia="zh-CN"/>
        </w:rPr>
      </w:pPr>
      <w:r>
        <w:rPr>
          <w:rFonts w:hint="eastAsia"/>
          <w:lang w:val="en-US" w:eastAsia="zh-CN"/>
        </w:rPr>
        <w:t>Discussion</w:t>
      </w:r>
    </w:p>
    <w:p>
      <w:pPr>
        <w:pStyle w:val="3"/>
        <w:bidi w:val="0"/>
        <w:rPr>
          <w:rFonts w:hint="eastAsia"/>
          <w:lang w:val="en-US" w:eastAsia="zh-CN"/>
        </w:rPr>
      </w:pPr>
      <w:r>
        <w:rPr>
          <w:rFonts w:hint="eastAsia"/>
          <w:lang w:val="en-US" w:eastAsia="zh-CN"/>
        </w:rPr>
        <w:t>Event due to action of TPC command</w:t>
      </w:r>
    </w:p>
    <w:p>
      <w:pPr>
        <w:rPr>
          <w:rFonts w:hint="default" w:cs="Times New Roman"/>
          <w:lang w:val="en-US" w:eastAsia="zh-CN"/>
        </w:rPr>
      </w:pPr>
      <w:r>
        <w:rPr>
          <w:rFonts w:hint="default" w:cs="Times New Roman"/>
          <w:lang w:val="en-US" w:eastAsia="zh-CN"/>
        </w:rPr>
        <w:t>To enable joint channel estimation, the consistent transmission power should be kept within a time domain window. For the transmission within or across a TDW, the transmission power can only be adjusted by the group common TPC command. Regarding how to address the group common TPC command received during a TDW, the working assumption was achieved in RAN1#107-e as shown above.</w:t>
      </w:r>
    </w:p>
    <w:p>
      <w:pPr>
        <w:rPr>
          <w:rFonts w:hint="default" w:cs="Times New Roman"/>
          <w:lang w:val="en-US" w:eastAsia="zh-CN"/>
        </w:rPr>
      </w:pPr>
      <w:r>
        <w:rPr>
          <w:rFonts w:hint="eastAsia" w:cs="Times New Roman"/>
          <w:lang w:val="en-US" w:eastAsia="zh-CN"/>
        </w:rPr>
        <w:t>In our view, it</w:t>
      </w:r>
      <w:r>
        <w:rPr>
          <w:rFonts w:hint="default" w:cs="Times New Roman"/>
          <w:lang w:val="en-US" w:eastAsia="zh-CN"/>
        </w:rPr>
        <w:t xml:space="preserve"> is</w:t>
      </w:r>
      <w:r>
        <w:rPr>
          <w:rFonts w:hint="eastAsia" w:cs="Times New Roman"/>
          <w:lang w:val="en-US" w:eastAsia="zh-CN"/>
        </w:rPr>
        <w:t xml:space="preserve"> better to prioritize power adjustment by TPC over joint channel estimation. If gNB is to boost the power by TPC, the gain from power boosting can be larger than the gain from joint channel estimation. If gNB is to choose to reduce the power due to the good channel conditions, performing joint channel estimation may not be necessary. So, taking the action of </w:t>
      </w:r>
      <w:r>
        <w:rPr>
          <w:sz w:val="21"/>
          <w:szCs w:val="21"/>
          <w:lang w:eastAsia="zh-CN"/>
        </w:rPr>
        <w:t>group common TPC commands</w:t>
      </w:r>
      <w:r>
        <w:rPr>
          <w:rFonts w:hint="eastAsia"/>
          <w:sz w:val="21"/>
          <w:szCs w:val="21"/>
          <w:lang w:val="en-US" w:eastAsia="zh-CN"/>
        </w:rPr>
        <w:t xml:space="preserve"> can contribute an event. On the other hand, this has been debated a lot before and some companies think it may cause frequent segmentation of TDW. In this sense, we are fine to confirm the working assumption. </w:t>
      </w:r>
    </w:p>
    <w:p>
      <w:pPr>
        <w:rPr>
          <w:rFonts w:hint="default" w:ascii="Times New Roman" w:hAnsi="Times New Roman" w:eastAsia="宋体"/>
          <w:szCs w:val="21"/>
          <w:lang w:val="en-US" w:eastAsia="zh-CN"/>
        </w:rPr>
      </w:pPr>
      <w:r>
        <w:rPr>
          <w:rFonts w:hint="eastAsia" w:cs="Times New Roman"/>
          <w:lang w:val="en-US" w:eastAsia="zh-CN"/>
        </w:rPr>
        <w:t xml:space="preserve">Regarding the FFS point, our view is that no </w:t>
      </w:r>
      <w:r>
        <w:rPr>
          <w:rFonts w:ascii="Times New Roman" w:hAnsi="Times New Roman" w:eastAsia="宋体"/>
          <w:szCs w:val="21"/>
        </w:rPr>
        <w:t>TPC command is expected to take effect during a configured TD</w:t>
      </w:r>
      <w:r>
        <w:rPr>
          <w:rFonts w:hint="eastAsia"/>
          <w:szCs w:val="21"/>
          <w:lang w:val="en-US" w:eastAsia="zh-CN"/>
        </w:rPr>
        <w:t xml:space="preserve">W because TPC command should not contribute an event </w:t>
      </w:r>
      <w:r>
        <w:rPr>
          <w:sz w:val="21"/>
          <w:szCs w:val="21"/>
          <w:lang w:eastAsia="zh-CN"/>
        </w:rPr>
        <w:t>that violates power consistency and phase continuity</w:t>
      </w:r>
      <w:r>
        <w:rPr>
          <w:rFonts w:hint="eastAsia"/>
          <w:sz w:val="21"/>
          <w:szCs w:val="21"/>
          <w:lang w:val="en-US" w:eastAsia="zh-CN"/>
        </w:rPr>
        <w:t xml:space="preserve">. </w:t>
      </w:r>
    </w:p>
    <w:p>
      <w:pPr>
        <w:numPr>
          <w:ilvl w:val="0"/>
          <w:numId w:val="0"/>
        </w:numPr>
        <w:ind w:leftChars="0"/>
        <w:rPr>
          <w:rFonts w:hint="default" w:cs="Times New Roman"/>
          <w:lang w:val="en-US" w:eastAsia="zh-CN"/>
        </w:rPr>
      </w:pPr>
      <w:r>
        <w:rPr>
          <w:rFonts w:hint="default" w:cs="Times New Roman"/>
          <w:lang w:val="en-US" w:eastAsia="zh-CN"/>
        </w:rPr>
        <w:t xml:space="preserve">Based on the discussion above, we </w:t>
      </w:r>
      <w:r>
        <w:rPr>
          <w:rFonts w:hint="eastAsia" w:cs="Times New Roman"/>
          <w:lang w:val="en-US" w:eastAsia="zh-CN"/>
        </w:rPr>
        <w:t>have the following proposal</w:t>
      </w:r>
      <w:r>
        <w:rPr>
          <w:rFonts w:hint="default" w:cs="Times New Roman"/>
          <w:lang w:val="en-US" w:eastAsia="zh-CN"/>
        </w:rPr>
        <w:t>.</w:t>
      </w:r>
    </w:p>
    <w:p>
      <w:pPr>
        <w:pStyle w:val="114"/>
        <w:numPr>
          <w:ilvl w:val="-1"/>
          <w:numId w:val="0"/>
        </w:numPr>
        <w:spacing w:before="120" w:after="137" w:afterLines="50" w:line="280" w:lineRule="atLeast"/>
        <w:ind w:leftChars="0"/>
        <w:rPr>
          <w:rFonts w:hint="default" w:cs="Times New Roman"/>
          <w:i/>
          <w:iCs/>
          <w:lang w:val="en-US" w:eastAsia="zh-CN"/>
        </w:rPr>
      </w:pPr>
      <w:r>
        <w:rPr>
          <w:rFonts w:hint="default" w:cs="Times New Roman"/>
          <w:b/>
          <w:bCs/>
          <w:i/>
          <w:iCs/>
          <w:lang w:val="en-US" w:eastAsia="zh-CN"/>
        </w:rPr>
        <w:t xml:space="preserve">Proposal 1: </w:t>
      </w:r>
      <w:r>
        <w:rPr>
          <w:rFonts w:hint="default" w:cs="Times New Roman"/>
          <w:b w:val="0"/>
          <w:bCs w:val="0"/>
          <w:i/>
          <w:iCs/>
          <w:lang w:val="en-US" w:eastAsia="zh-CN"/>
        </w:rPr>
        <w:t xml:space="preserve">The working assumption below is confirmed with not allowing TPC </w:t>
      </w:r>
      <w:r>
        <w:rPr>
          <w:rFonts w:ascii="Times New Roman" w:hAnsi="Times New Roman" w:eastAsia="Calibri"/>
          <w:b w:val="0"/>
          <w:bCs w:val="0"/>
          <w:i/>
          <w:iCs/>
          <w:szCs w:val="22"/>
        </w:rPr>
        <w:t>command to take effect during a configured TDW</w:t>
      </w:r>
      <w:r>
        <w:rPr>
          <w:rFonts w:hint="default"/>
          <w:b w:val="0"/>
          <w:bCs w:val="0"/>
          <w:i/>
          <w:iCs/>
          <w:szCs w:val="22"/>
          <w:lang w:val="en-US" w:eastAsia="zh-CN"/>
        </w:rPr>
        <w:t xml:space="preserve"> if</w:t>
      </w:r>
      <w:r>
        <w:rPr>
          <w:rFonts w:hint="eastAsia"/>
          <w:b w:val="0"/>
          <w:bCs w:val="0"/>
          <w:i/>
          <w:iCs/>
          <w:szCs w:val="22"/>
          <w:lang w:val="en-US" w:eastAsia="zh-CN"/>
        </w:rPr>
        <w:t xml:space="preserve"> </w:t>
      </w:r>
      <w:r>
        <w:rPr>
          <w:b w:val="0"/>
          <w:bCs w:val="0"/>
          <w:i/>
          <w:iCs/>
          <w:sz w:val="20"/>
          <w:szCs w:val="22"/>
          <w:lang w:eastAsia="zh-CN"/>
        </w:rPr>
        <w:t>UE is not configured to accumulate TPC commands</w:t>
      </w:r>
      <w:r>
        <w:rPr>
          <w:rFonts w:hint="eastAsia"/>
          <w:b w:val="0"/>
          <w:bCs w:val="0"/>
          <w:i/>
          <w:iCs/>
          <w:sz w:val="20"/>
          <w:szCs w:val="22"/>
          <w:lang w:val="en-US" w:eastAsia="zh-CN"/>
        </w:rPr>
        <w:t xml:space="preserve">. </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kinsoku/>
              <w:wordWrap/>
              <w:topLinePunct w:val="0"/>
              <w:autoSpaceDE w:val="0"/>
              <w:autoSpaceDN w:val="0"/>
              <w:bidi w:val="0"/>
              <w:adjustRightInd w:val="0"/>
              <w:snapToGrid w:val="0"/>
              <w:spacing w:before="120" w:after="0" w:line="280" w:lineRule="atLeast"/>
              <w:rPr>
                <w:rFonts w:ascii="Times New Roman" w:hAnsi="Times New Roman"/>
                <w:b/>
                <w:highlight w:val="darkYellow"/>
              </w:rPr>
            </w:pPr>
            <w:r>
              <w:rPr>
                <w:rFonts w:ascii="Times New Roman" w:hAnsi="Times New Roman"/>
                <w:b/>
                <w:highlight w:val="darkYellow"/>
              </w:rPr>
              <w:t>Working assumption:</w:t>
            </w:r>
          </w:p>
          <w:p>
            <w:pPr>
              <w:pStyle w:val="114"/>
              <w:keepNext w:val="0"/>
              <w:keepLines w:val="0"/>
              <w:pageBreakBefore w:val="0"/>
              <w:widowControl/>
              <w:numPr>
                <w:ilvl w:val="0"/>
                <w:numId w:val="10"/>
              </w:numPr>
              <w:kinsoku/>
              <w:wordWrap/>
              <w:topLinePunct w:val="0"/>
              <w:autoSpaceDE w:val="0"/>
              <w:autoSpaceDN w:val="0"/>
              <w:bidi w:val="0"/>
              <w:adjustRightInd w:val="0"/>
              <w:snapToGrid w:val="0"/>
              <w:spacing w:before="120" w:after="0" w:line="259" w:lineRule="auto"/>
              <w:ind w:leftChars="0"/>
              <w:jc w:val="both"/>
              <w:rPr>
                <w:sz w:val="21"/>
                <w:szCs w:val="21"/>
                <w:lang w:eastAsia="zh-CN"/>
              </w:rPr>
            </w:pPr>
            <w:r>
              <w:rPr>
                <w:sz w:val="21"/>
                <w:szCs w:val="21"/>
                <w:lang w:eastAsia="zh-CN"/>
              </w:rPr>
              <w:t>The action of group common TPC commands with format 2_2 does not constitute an event that violates power consistency and phase continuity.</w:t>
            </w:r>
          </w:p>
          <w:p>
            <w:pPr>
              <w:pStyle w:val="114"/>
              <w:keepNext w:val="0"/>
              <w:keepLines w:val="0"/>
              <w:pageBreakBefore w:val="0"/>
              <w:widowControl/>
              <w:numPr>
                <w:ilvl w:val="1"/>
                <w:numId w:val="11"/>
              </w:numPr>
              <w:kinsoku/>
              <w:wordWrap/>
              <w:topLinePunct w:val="0"/>
              <w:autoSpaceDE w:val="0"/>
              <w:autoSpaceDN w:val="0"/>
              <w:bidi w:val="0"/>
              <w:adjustRightInd w:val="0"/>
              <w:snapToGrid w:val="0"/>
              <w:spacing w:before="120" w:after="0" w:line="280" w:lineRule="atLeast"/>
              <w:ind w:left="780" w:leftChars="0"/>
              <w:jc w:val="both"/>
              <w:rPr>
                <w:sz w:val="21"/>
                <w:szCs w:val="21"/>
              </w:rPr>
            </w:pPr>
            <w:r>
              <w:rPr>
                <w:sz w:val="21"/>
                <w:szCs w:val="21"/>
                <w:lang w:eastAsia="zh-CN"/>
              </w:rPr>
              <w:t xml:space="preserve">If UE is configured to </w:t>
            </w:r>
            <w:r>
              <w:rPr>
                <w:bCs/>
                <w:sz w:val="21"/>
                <w:szCs w:val="21"/>
              </w:rPr>
              <w:t>accumulate TPC commands,</w:t>
            </w:r>
          </w:p>
          <w:p>
            <w:pPr>
              <w:keepNext w:val="0"/>
              <w:keepLines w:val="0"/>
              <w:pageBreakBefore w:val="0"/>
              <w:widowControl/>
              <w:numPr>
                <w:ilvl w:val="2"/>
                <w:numId w:val="12"/>
              </w:numPr>
              <w:kinsoku/>
              <w:wordWrap/>
              <w:topLinePunct w:val="0"/>
              <w:autoSpaceDE w:val="0"/>
              <w:autoSpaceDN w:val="0"/>
              <w:bidi w:val="0"/>
              <w:adjustRightInd w:val="0"/>
              <w:snapToGrid w:val="0"/>
              <w:spacing w:before="120" w:after="0" w:line="280" w:lineRule="atLeast"/>
              <w:jc w:val="both"/>
              <w:rPr>
                <w:rFonts w:ascii="Times New Roman" w:hAnsi="Times New Roman" w:eastAsia="宋体"/>
                <w:szCs w:val="21"/>
              </w:rPr>
            </w:pPr>
            <w:r>
              <w:rPr>
                <w:rFonts w:ascii="Times New Roman" w:hAnsi="Times New Roman" w:eastAsia="宋体"/>
                <w:szCs w:val="21"/>
              </w:rPr>
              <w:t>If UE receives TPC commands that would take into effect during a configured TDW, UE accumulates TPC commands without taking effect during the current configured TDW. TPC commands take effect after the current configured TDW.</w:t>
            </w:r>
          </w:p>
          <w:p>
            <w:pPr>
              <w:pStyle w:val="114"/>
              <w:keepNext w:val="0"/>
              <w:keepLines w:val="0"/>
              <w:pageBreakBefore w:val="0"/>
              <w:widowControl/>
              <w:numPr>
                <w:ilvl w:val="1"/>
                <w:numId w:val="11"/>
              </w:numPr>
              <w:kinsoku/>
              <w:wordWrap/>
              <w:topLinePunct w:val="0"/>
              <w:autoSpaceDE w:val="0"/>
              <w:autoSpaceDN w:val="0"/>
              <w:bidi w:val="0"/>
              <w:adjustRightInd w:val="0"/>
              <w:snapToGrid w:val="0"/>
              <w:spacing w:before="120" w:after="0" w:line="280" w:lineRule="atLeast"/>
              <w:ind w:left="780" w:leftChars="0"/>
              <w:jc w:val="both"/>
              <w:rPr>
                <w:sz w:val="21"/>
                <w:szCs w:val="21"/>
                <w:lang w:eastAsia="zh-CN"/>
              </w:rPr>
            </w:pPr>
            <w:r>
              <w:rPr>
                <w:sz w:val="21"/>
                <w:szCs w:val="21"/>
                <w:lang w:eastAsia="zh-CN"/>
              </w:rPr>
              <w:t>If UE is not configured to accumulate TPC commands</w:t>
            </w:r>
          </w:p>
          <w:p>
            <w:pPr>
              <w:keepNext w:val="0"/>
              <w:keepLines w:val="0"/>
              <w:pageBreakBefore w:val="0"/>
              <w:widowControl/>
              <w:numPr>
                <w:ilvl w:val="2"/>
                <w:numId w:val="12"/>
              </w:numPr>
              <w:kinsoku/>
              <w:wordWrap/>
              <w:topLinePunct w:val="0"/>
              <w:autoSpaceDE w:val="0"/>
              <w:autoSpaceDN w:val="0"/>
              <w:bidi w:val="0"/>
              <w:adjustRightInd w:val="0"/>
              <w:snapToGrid w:val="0"/>
              <w:spacing w:before="120" w:after="0" w:line="280" w:lineRule="atLeast"/>
              <w:jc w:val="both"/>
              <w:rPr>
                <w:rFonts w:ascii="Times New Roman" w:hAnsi="Times New Roman" w:eastAsia="宋体"/>
                <w:szCs w:val="21"/>
              </w:rPr>
            </w:pPr>
            <w:r>
              <w:rPr>
                <w:rFonts w:ascii="Times New Roman" w:hAnsi="Times New Roman" w:eastAsia="宋体"/>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pPr>
              <w:keepNext w:val="0"/>
              <w:keepLines w:val="0"/>
              <w:pageBreakBefore w:val="0"/>
              <w:widowControl/>
              <w:numPr>
                <w:ilvl w:val="3"/>
                <w:numId w:val="12"/>
              </w:numPr>
              <w:kinsoku/>
              <w:wordWrap/>
              <w:topLinePunct w:val="0"/>
              <w:autoSpaceDE w:val="0"/>
              <w:autoSpaceDN w:val="0"/>
              <w:bidi w:val="0"/>
              <w:adjustRightInd w:val="0"/>
              <w:snapToGrid w:val="0"/>
              <w:spacing w:before="120" w:after="0" w:line="280" w:lineRule="atLeast"/>
              <w:jc w:val="both"/>
              <w:rPr>
                <w:rFonts w:ascii="Times New Roman" w:hAnsi="Times New Roman" w:eastAsia="宋体"/>
                <w:color w:val="FF0000"/>
                <w:szCs w:val="21"/>
                <w:u w:val="single"/>
              </w:rPr>
            </w:pPr>
            <w:r>
              <w:rPr>
                <w:rFonts w:hint="eastAsia"/>
                <w:color w:val="FF0000"/>
                <w:szCs w:val="21"/>
                <w:u w:val="single"/>
                <w:lang w:val="en-US" w:eastAsia="zh-CN"/>
              </w:rPr>
              <w:t>No</w:t>
            </w:r>
            <w:r>
              <w:rPr>
                <w:rFonts w:ascii="Times New Roman" w:hAnsi="Times New Roman" w:eastAsia="宋体"/>
                <w:color w:val="FF0000"/>
                <w:szCs w:val="21"/>
                <w:u w:val="single"/>
              </w:rPr>
              <w:t xml:space="preserve"> TPC command is expected to take effect during a configured TDW.</w:t>
            </w:r>
          </w:p>
          <w:p>
            <w:pPr>
              <w:numPr>
                <w:ilvl w:val="0"/>
                <w:numId w:val="0"/>
              </w:numPr>
              <w:spacing w:before="120" w:line="280" w:lineRule="atLeast"/>
              <w:rPr>
                <w:rFonts w:hint="default" w:cs="Times New Roman"/>
                <w:i/>
                <w:iCs/>
                <w:vertAlign w:val="baseline"/>
                <w:lang w:val="en-US" w:eastAsia="zh-CN"/>
              </w:rPr>
            </w:pPr>
          </w:p>
        </w:tc>
      </w:tr>
    </w:tbl>
    <w:p>
      <w:pPr>
        <w:numPr>
          <w:ilvl w:val="0"/>
          <w:numId w:val="0"/>
        </w:numPr>
        <w:ind w:leftChars="0"/>
        <w:rPr>
          <w:rFonts w:hint="default" w:cs="Times New Roman"/>
          <w:i/>
          <w:iCs/>
          <w:lang w:val="en-US" w:eastAsia="zh-CN"/>
        </w:rPr>
      </w:pPr>
    </w:p>
    <w:p>
      <w:pPr>
        <w:pStyle w:val="3"/>
        <w:bidi w:val="0"/>
        <w:rPr>
          <w:rFonts w:hint="eastAsia"/>
          <w:lang w:val="en-US" w:eastAsia="zh-CN"/>
        </w:rPr>
      </w:pPr>
      <w:r>
        <w:rPr>
          <w:rFonts w:hint="eastAsia"/>
          <w:lang w:val="en-US" w:eastAsia="zh-CN"/>
        </w:rPr>
        <w:t xml:space="preserve">Event due to UL beam sweeping </w:t>
      </w:r>
    </w:p>
    <w:p>
      <w:pPr>
        <w:keepNext w:val="0"/>
        <w:keepLines w:val="0"/>
        <w:pageBreakBefore w:val="0"/>
        <w:widowControl/>
        <w:numPr>
          <w:ilvl w:val="0"/>
          <w:numId w:val="0"/>
        </w:numPr>
        <w:kinsoku/>
        <w:wordWrap/>
        <w:overflowPunct w:val="0"/>
        <w:topLinePunct w:val="0"/>
        <w:autoSpaceDE w:val="0"/>
        <w:autoSpaceDN w:val="0"/>
        <w:bidi w:val="0"/>
        <w:adjustRightInd w:val="0"/>
        <w:snapToGrid w:val="0"/>
        <w:ind w:leftChars="0"/>
        <w:textAlignment w:val="baseline"/>
        <w:rPr>
          <w:rFonts w:hint="default"/>
          <w:lang w:val="en-US" w:eastAsia="zh-CN"/>
        </w:rPr>
      </w:pPr>
      <w:r>
        <w:rPr>
          <w:rFonts w:hint="default"/>
          <w:lang w:val="en-US" w:eastAsia="zh-CN"/>
        </w:rPr>
        <w:t>In RAN1#107-e, it was agreed that UL beam switching for multi-TRP operation constitutes an event that violates power consistency and phase continuity. Whether it is considered as a semi-static event is FFS. For the PUSCH repetition in multi-TRP operation, UL beam is indicated by UL grant with the agreement</w:t>
      </w:r>
      <w:r>
        <w:rPr>
          <w:rFonts w:hint="eastAsia"/>
          <w:lang w:val="en-US" w:eastAsia="zh-CN"/>
        </w:rPr>
        <w:t>s</w:t>
      </w:r>
      <w:r>
        <w:rPr>
          <w:rFonts w:hint="default"/>
          <w:lang w:val="en-US" w:eastAsia="zh-CN"/>
        </w:rPr>
        <w:t xml:space="preserve"> shown below [3][4].</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napToGrid w:val="0"/>
              <w:spacing w:before="120" w:after="0" w:line="240" w:lineRule="auto"/>
              <w:jc w:val="both"/>
              <w:rPr>
                <w:rFonts w:ascii="Times New Roman" w:hAnsi="Times New Roman" w:eastAsia="Batang" w:cs="Times New Roman"/>
                <w:b/>
                <w:bCs/>
                <w:sz w:val="20"/>
                <w:szCs w:val="20"/>
                <w:highlight w:val="green"/>
                <w:lang w:eastAsia="ko-KR"/>
              </w:rPr>
            </w:pPr>
            <w:r>
              <w:rPr>
                <w:rFonts w:ascii="Times New Roman" w:hAnsi="Times New Roman" w:eastAsia="Batang" w:cs="Times New Roman"/>
                <w:b/>
                <w:bCs/>
                <w:sz w:val="20"/>
                <w:szCs w:val="20"/>
                <w:highlight w:val="green"/>
                <w:lang w:eastAsia="ko-KR"/>
              </w:rPr>
              <w:t>Agreement</w:t>
            </w:r>
            <w:r>
              <w:rPr>
                <w:rFonts w:hint="default" w:ascii="Times New Roman" w:hAnsi="Times New Roman" w:eastAsia="Batang" w:cs="Times New Roman"/>
                <w:b/>
                <w:bCs/>
                <w:sz w:val="20"/>
                <w:szCs w:val="20"/>
                <w:highlight w:val="green"/>
                <w:lang w:val="en-US"/>
              </w:rPr>
              <w:t>(RAN1#10</w:t>
            </w:r>
            <w:r>
              <w:rPr>
                <w:rFonts w:hint="default" w:eastAsia="Batang" w:cs="Times New Roman"/>
                <w:b/>
                <w:bCs/>
                <w:sz w:val="20"/>
                <w:szCs w:val="20"/>
                <w:highlight w:val="green"/>
                <w:lang w:val="en-US"/>
              </w:rPr>
              <w:t>4</w:t>
            </w:r>
            <w:r>
              <w:rPr>
                <w:rFonts w:hint="default" w:ascii="Times New Roman" w:hAnsi="Times New Roman" w:eastAsia="Batang" w:cs="Times New Roman"/>
                <w:b/>
                <w:bCs/>
                <w:sz w:val="20"/>
                <w:szCs w:val="20"/>
                <w:highlight w:val="green"/>
                <w:lang w:val="en-US"/>
              </w:rPr>
              <w:t>-e)</w:t>
            </w:r>
          </w:p>
          <w:p>
            <w:pPr>
              <w:snapToGrid w:val="0"/>
              <w:spacing w:before="120" w:after="0" w:line="240" w:lineRule="auto"/>
              <w:jc w:val="both"/>
              <w:rPr>
                <w:rFonts w:ascii="Times New Roman" w:hAnsi="Times New Roman" w:eastAsia="宋体" w:cs="Times New Roman"/>
                <w:sz w:val="20"/>
                <w:szCs w:val="20"/>
                <w:lang w:val="en-US" w:eastAsia="ko-KR"/>
              </w:rPr>
            </w:pPr>
            <w:r>
              <w:rPr>
                <w:rFonts w:ascii="Times New Roman" w:hAnsi="Times New Roman" w:eastAsia="Batang" w:cs="Times New Roman"/>
                <w:sz w:val="20"/>
                <w:szCs w:val="20"/>
                <w:lang w:eastAsia="ko-KR"/>
              </w:rPr>
              <w:t xml:space="preserve">For single DCI based M-TRP PUSCH repetition schemes, in codebook based PUSCH, </w:t>
            </w:r>
          </w:p>
          <w:p>
            <w:pPr>
              <w:numPr>
                <w:ilvl w:val="0"/>
                <w:numId w:val="14"/>
              </w:numPr>
              <w:spacing w:before="120" w:after="0" w:line="252" w:lineRule="auto"/>
              <w:jc w:val="both"/>
              <w:rPr>
                <w:rFonts w:ascii="Times New Roman" w:hAnsi="Times New Roman" w:eastAsia="Batang" w:cs="Times New Roman"/>
                <w:sz w:val="20"/>
                <w:szCs w:val="20"/>
                <w:lang w:eastAsia="ko-KR"/>
              </w:rPr>
            </w:pPr>
            <w:r>
              <w:rPr>
                <w:rFonts w:ascii="Times New Roman" w:hAnsi="Times New Roman" w:eastAsia="Batang" w:cs="Times New Roman"/>
                <w:sz w:val="20"/>
                <w:szCs w:val="20"/>
                <w:lang w:eastAsia="ko-KR"/>
              </w:rPr>
              <w:t>Support two SRI fields corresponding to two SRS resource sets are included in DCI formats 0_1/0_2.</w:t>
            </w:r>
          </w:p>
          <w:p>
            <w:pPr>
              <w:numPr>
                <w:ilvl w:val="1"/>
                <w:numId w:val="14"/>
              </w:numPr>
              <w:spacing w:before="120" w:after="0" w:line="252" w:lineRule="auto"/>
              <w:jc w:val="both"/>
              <w:rPr>
                <w:rFonts w:ascii="Times New Roman" w:hAnsi="Times New Roman" w:eastAsia="Batang" w:cs="Times New Roman"/>
                <w:b/>
                <w:bCs/>
                <w:sz w:val="20"/>
                <w:szCs w:val="20"/>
                <w:lang w:eastAsia="ko-KR"/>
              </w:rPr>
            </w:pPr>
            <w:r>
              <w:rPr>
                <w:rFonts w:ascii="Times New Roman" w:hAnsi="Times New Roman" w:eastAsia="Batang" w:cs="Times New Roman"/>
                <w:sz w:val="20"/>
                <w:szCs w:val="20"/>
                <w:lang w:eastAsia="ko-KR"/>
              </w:rPr>
              <w:t>Each SRI field indicating SRI per TRP, where the SRI field based on Rel-15/16 framework</w:t>
            </w:r>
          </w:p>
          <w:p>
            <w:pPr>
              <w:numPr>
                <w:ilvl w:val="0"/>
                <w:numId w:val="14"/>
              </w:numPr>
              <w:spacing w:before="120" w:after="0" w:line="252" w:lineRule="auto"/>
              <w:jc w:val="both"/>
              <w:rPr>
                <w:rFonts w:ascii="Times New Roman" w:hAnsi="Times New Roman" w:eastAsia="Batang" w:cs="Times New Roman"/>
                <w:sz w:val="20"/>
                <w:szCs w:val="20"/>
                <w:lang w:eastAsia="ko-KR"/>
              </w:rPr>
            </w:pPr>
            <w:r>
              <w:rPr>
                <w:rFonts w:ascii="Times New Roman" w:hAnsi="Times New Roman" w:eastAsia="Batang" w:cs="Times New Roman"/>
                <w:sz w:val="20"/>
                <w:szCs w:val="20"/>
                <w:lang w:eastAsia="ko-KR"/>
              </w:rPr>
              <w:t xml:space="preserve">Support dynamic switching between multi-TRP and single-TRP operation </w:t>
            </w:r>
          </w:p>
          <w:p>
            <w:pPr>
              <w:numPr>
                <w:ilvl w:val="0"/>
                <w:numId w:val="14"/>
              </w:numPr>
              <w:snapToGrid w:val="0"/>
              <w:spacing w:before="60" w:after="0" w:line="240" w:lineRule="auto"/>
              <w:jc w:val="both"/>
              <w:rPr>
                <w:rFonts w:ascii="Times New Roman" w:hAnsi="Times New Roman" w:eastAsia="Batang" w:cs="Times New Roman"/>
                <w:strike w:val="0"/>
                <w:sz w:val="20"/>
                <w:szCs w:val="20"/>
                <w:lang w:eastAsia="ko-KR"/>
              </w:rPr>
            </w:pPr>
            <w:r>
              <w:rPr>
                <w:rFonts w:ascii="Times New Roman" w:hAnsi="Times New Roman" w:eastAsia="Batang" w:cs="Times New Roman"/>
                <w:strike w:val="0"/>
                <w:sz w:val="20"/>
                <w:szCs w:val="20"/>
                <w:lang w:eastAsia="ko-KR"/>
              </w:rPr>
              <w:t>FFS: Support dynamic switching the order of two TRPs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line="280" w:lineRule="atLeast"/>
              <w:textAlignment w:val="baseline"/>
              <w:rPr>
                <w:rFonts w:hint="default"/>
                <w:vertAlign w:val="baseline"/>
                <w:lang w:val="en-US" w:eastAsia="zh-CN"/>
              </w:rPr>
            </w:pPr>
          </w:p>
          <w:p>
            <w:pPr>
              <w:shd w:val="clear" w:color="auto" w:fill="FFFFFF"/>
              <w:spacing w:before="120" w:after="0" w:line="240" w:lineRule="auto"/>
              <w:rPr>
                <w:rFonts w:ascii="Times New Roman" w:hAnsi="Times New Roman" w:eastAsia="宋体" w:cs="Times New Roman"/>
                <w:sz w:val="20"/>
                <w:szCs w:val="20"/>
                <w:lang w:val="en-US" w:eastAsia="zh-CN"/>
              </w:rPr>
            </w:pPr>
            <w:r>
              <w:rPr>
                <w:rFonts w:ascii="Times New Roman" w:hAnsi="Times New Roman" w:eastAsia="宋体" w:cs="Times New Roman"/>
                <w:b/>
                <w:bCs/>
                <w:sz w:val="20"/>
                <w:szCs w:val="20"/>
                <w:highlight w:val="green"/>
                <w:lang w:val="en-US" w:eastAsia="zh-CN"/>
              </w:rPr>
              <w:t>Agreement</w:t>
            </w:r>
            <w:r>
              <w:rPr>
                <w:rFonts w:hint="default" w:ascii="Times New Roman" w:hAnsi="Times New Roman" w:eastAsia="Batang" w:cs="Times New Roman"/>
                <w:b/>
                <w:bCs/>
                <w:sz w:val="20"/>
                <w:szCs w:val="20"/>
                <w:highlight w:val="green"/>
                <w:lang w:val="en-US"/>
              </w:rPr>
              <w:t>(RAN1#10</w:t>
            </w:r>
            <w:r>
              <w:rPr>
                <w:rFonts w:hint="default" w:eastAsia="Batang" w:cs="Times New Roman"/>
                <w:b/>
                <w:bCs/>
                <w:sz w:val="20"/>
                <w:szCs w:val="20"/>
                <w:highlight w:val="green"/>
                <w:lang w:val="en-US"/>
              </w:rPr>
              <w:t>4</w:t>
            </w:r>
            <w:r>
              <w:rPr>
                <w:rFonts w:hint="default" w:ascii="Times New Roman" w:hAnsi="Times New Roman" w:eastAsia="Batang" w:cs="Times New Roman"/>
                <w:b/>
                <w:bCs/>
                <w:sz w:val="20"/>
                <w:szCs w:val="20"/>
                <w:highlight w:val="green"/>
                <w:lang w:val="en-US"/>
              </w:rPr>
              <w:t>-e)</w:t>
            </w:r>
          </w:p>
          <w:p>
            <w:pPr>
              <w:snapToGrid w:val="0"/>
              <w:spacing w:before="120" w:after="0" w:line="240" w:lineRule="auto"/>
              <w:jc w:val="both"/>
              <w:rPr>
                <w:rFonts w:ascii="Times New Roman" w:hAnsi="Times New Roman" w:eastAsia="Batang" w:cs="Times New Roman"/>
                <w:sz w:val="20"/>
                <w:szCs w:val="20"/>
                <w:lang w:eastAsia="ko-KR"/>
              </w:rPr>
            </w:pPr>
            <w:r>
              <w:rPr>
                <w:rFonts w:ascii="Times New Roman" w:hAnsi="Times New Roman" w:eastAsia="Batang" w:cs="Times New Roman"/>
                <w:sz w:val="20"/>
                <w:szCs w:val="20"/>
              </w:rPr>
              <w:t xml:space="preserve">For single DCI based M-TRP PUSCH repetition schemes, in non-codebook based PUSCH, </w:t>
            </w:r>
          </w:p>
          <w:p>
            <w:pPr>
              <w:numPr>
                <w:ilvl w:val="0"/>
                <w:numId w:val="14"/>
              </w:numPr>
              <w:spacing w:before="120" w:after="0" w:line="240" w:lineRule="auto"/>
              <w:jc w:val="both"/>
              <w:rPr>
                <w:rFonts w:ascii="Times New Roman" w:hAnsi="Times New Roman" w:eastAsia="Batang" w:cs="Times New Roman"/>
                <w:sz w:val="20"/>
                <w:szCs w:val="20"/>
              </w:rPr>
            </w:pPr>
            <w:r>
              <w:rPr>
                <w:rFonts w:ascii="Times New Roman" w:hAnsi="Times New Roman" w:eastAsia="Batang" w:cs="Times New Roman"/>
                <w:sz w:val="20"/>
                <w:szCs w:val="20"/>
              </w:rPr>
              <w:t>Support two SRI field(s) corresponding to two SRS resource sets are included in DCI formats 0_1/0_2.</w:t>
            </w:r>
          </w:p>
          <w:p>
            <w:pPr>
              <w:numPr>
                <w:ilvl w:val="1"/>
                <w:numId w:val="14"/>
              </w:numPr>
              <w:spacing w:before="120" w:after="0" w:line="240" w:lineRule="auto"/>
              <w:jc w:val="both"/>
              <w:rPr>
                <w:rFonts w:ascii="Times New Roman" w:hAnsi="Times New Roman" w:eastAsia="Batang" w:cs="Times New Roman"/>
                <w:sz w:val="20"/>
                <w:szCs w:val="20"/>
                <w:lang w:val="en-US"/>
              </w:rPr>
            </w:pPr>
            <w:r>
              <w:rPr>
                <w:rFonts w:ascii="Times New Roman" w:hAnsi="Times New Roman" w:eastAsia="Batang" w:cs="Times New Roman"/>
                <w:sz w:val="20"/>
                <w:szCs w:val="20"/>
              </w:rPr>
              <w:t xml:space="preserve">Each SRI field indicating SRI per TRP, where the first SRI field based on Rel-15/16 framework, </w:t>
            </w:r>
          </w:p>
          <w:p>
            <w:pPr>
              <w:numPr>
                <w:ilvl w:val="1"/>
                <w:numId w:val="14"/>
              </w:numPr>
              <w:spacing w:before="120" w:after="0" w:line="240" w:lineRule="auto"/>
              <w:jc w:val="both"/>
              <w:rPr>
                <w:rFonts w:ascii="Times New Roman" w:hAnsi="Times New Roman" w:eastAsia="Batang" w:cs="Times New Roman"/>
                <w:sz w:val="20"/>
                <w:szCs w:val="20"/>
              </w:rPr>
            </w:pPr>
            <w:r>
              <w:rPr>
                <w:rFonts w:ascii="Times New Roman" w:hAnsi="Times New Roman" w:eastAsia="Batang" w:cs="Times New Roman"/>
                <w:sz w:val="20"/>
                <w:szCs w:val="20"/>
              </w:rPr>
              <w:t>Support the same number of layers applied over repetitions</w:t>
            </w:r>
          </w:p>
          <w:p>
            <w:pPr>
              <w:numPr>
                <w:ilvl w:val="1"/>
                <w:numId w:val="15"/>
              </w:numPr>
              <w:spacing w:before="120" w:after="0" w:line="240" w:lineRule="auto"/>
              <w:jc w:val="both"/>
              <w:rPr>
                <w:rFonts w:ascii="Times New Roman" w:hAnsi="Times New Roman" w:eastAsia="Batang" w:cs="Times New Roman"/>
                <w:sz w:val="20"/>
                <w:szCs w:val="20"/>
              </w:rPr>
            </w:pPr>
            <w:r>
              <w:rPr>
                <w:rFonts w:ascii="Times New Roman" w:hAnsi="Times New Roman" w:eastAsia="Batang" w:cs="Times New Roman"/>
                <w:sz w:val="20"/>
                <w:szCs w:val="20"/>
              </w:rPr>
              <w:t>FFS: details of second SRI field including the specification change for Table 7.3.1.1.2-28/29/30/31 in 38.212.</w:t>
            </w:r>
          </w:p>
          <w:p>
            <w:pPr>
              <w:numPr>
                <w:ilvl w:val="0"/>
                <w:numId w:val="14"/>
              </w:numPr>
              <w:spacing w:before="120" w:after="0" w:line="240" w:lineRule="auto"/>
              <w:jc w:val="both"/>
              <w:rPr>
                <w:rFonts w:ascii="Times New Roman" w:hAnsi="Times New Roman" w:eastAsia="Batang" w:cs="Times New Roman"/>
                <w:sz w:val="20"/>
                <w:szCs w:val="20"/>
              </w:rPr>
            </w:pPr>
            <w:r>
              <w:rPr>
                <w:rFonts w:ascii="Times New Roman" w:hAnsi="Times New Roman" w:eastAsia="Batang" w:cs="Times New Roman"/>
                <w:sz w:val="20"/>
                <w:szCs w:val="20"/>
              </w:rPr>
              <w:t>Support dynamic switching between multi-TRP and single-TRP operation</w:t>
            </w:r>
          </w:p>
          <w:p>
            <w:pPr>
              <w:numPr>
                <w:ilvl w:val="1"/>
                <w:numId w:val="14"/>
              </w:numPr>
              <w:spacing w:before="120" w:after="0" w:line="240" w:lineRule="auto"/>
              <w:jc w:val="both"/>
              <w:rPr>
                <w:rFonts w:ascii="Times New Roman" w:hAnsi="Times New Roman" w:eastAsia="Batang" w:cs="Times New Roman"/>
                <w:sz w:val="20"/>
                <w:szCs w:val="20"/>
              </w:rPr>
            </w:pPr>
            <w:r>
              <w:rPr>
                <w:rFonts w:ascii="Times New Roman" w:hAnsi="Times New Roman" w:eastAsia="Batang" w:cs="Times New Roman"/>
                <w:sz w:val="20"/>
                <w:szCs w:val="20"/>
              </w:rPr>
              <w:t>FFS: whether/how to use SRI field(s) and additional details of SRI field(s) interpretations</w:t>
            </w:r>
          </w:p>
          <w:p>
            <w:pPr>
              <w:numPr>
                <w:ilvl w:val="0"/>
                <w:numId w:val="14"/>
              </w:numPr>
              <w:spacing w:before="120" w:after="0" w:line="240" w:lineRule="auto"/>
              <w:jc w:val="both"/>
              <w:rPr>
                <w:rFonts w:ascii="Times New Roman" w:hAnsi="Times New Roman" w:eastAsia="Batang" w:cs="Times New Roman"/>
                <w:strike w:val="0"/>
                <w:sz w:val="20"/>
                <w:szCs w:val="20"/>
              </w:rPr>
            </w:pPr>
            <w:r>
              <w:rPr>
                <w:rFonts w:ascii="Times New Roman" w:hAnsi="Times New Roman" w:eastAsia="Batang" w:cs="Times New Roman"/>
                <w:strike w:val="0"/>
                <w:sz w:val="20"/>
                <w:szCs w:val="20"/>
              </w:rPr>
              <w:t>FFS: Minimizing the DCI overhead for PUSCH repetition Type A as a result of number of layers being limited to 1 when more than one repetition is scheduled.</w:t>
            </w:r>
          </w:p>
          <w:p>
            <w:pPr>
              <w:numPr>
                <w:ilvl w:val="0"/>
                <w:numId w:val="14"/>
              </w:numPr>
              <w:snapToGrid w:val="0"/>
              <w:spacing w:before="120" w:after="0" w:line="240" w:lineRule="auto"/>
              <w:jc w:val="both"/>
              <w:rPr>
                <w:rFonts w:ascii="Times New Roman" w:hAnsi="Times New Roman" w:eastAsia="Batang" w:cs="Times New Roman"/>
                <w:strike w:val="0"/>
                <w:sz w:val="20"/>
                <w:szCs w:val="20"/>
              </w:rPr>
            </w:pPr>
            <w:r>
              <w:rPr>
                <w:rFonts w:ascii="Times New Roman" w:hAnsi="Times New Roman" w:eastAsia="Batang" w:cs="Times New Roman"/>
                <w:strike w:val="0"/>
                <w:sz w:val="20"/>
                <w:szCs w:val="20"/>
              </w:rPr>
              <w:t>FFS: Support dynamic switching the order of two TRPs</w:t>
            </w:r>
          </w:p>
          <w:p>
            <w:pPr>
              <w:numPr>
                <w:ilvl w:val="0"/>
                <w:numId w:val="14"/>
              </w:numPr>
              <w:snapToGrid w:val="0"/>
              <w:spacing w:before="120" w:after="0" w:line="240" w:lineRule="auto"/>
              <w:jc w:val="both"/>
              <w:rPr>
                <w:rFonts w:ascii="Times New Roman" w:hAnsi="Times New Roman" w:eastAsia="Batang" w:cs="Times New Roman"/>
                <w:strike/>
                <w:sz w:val="20"/>
                <w:szCs w:val="20"/>
              </w:rPr>
            </w:pPr>
            <w:r>
              <w:rPr>
                <w:rFonts w:ascii="Times New Roman" w:hAnsi="Times New Roman" w:eastAsia="Batang" w:cs="Times New Roman"/>
                <w:strike w:val="0"/>
                <w:sz w:val="20"/>
                <w:szCs w:val="20"/>
              </w:rPr>
              <w:t>Companies are encouraged to provide total payload size of the two SRI fields and scheduling restriction, if any</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line="280" w:lineRule="atLeast"/>
              <w:textAlignment w:val="baseline"/>
              <w:rPr>
                <w:rFonts w:hint="default"/>
                <w:vertAlign w:val="baseline"/>
                <w:lang w:val="en-US" w:eastAsia="zh-CN"/>
              </w:rPr>
            </w:pPr>
          </w:p>
          <w:p>
            <w:pPr>
              <w:spacing w:before="120" w:after="0" w:line="240" w:lineRule="auto"/>
              <w:rPr>
                <w:rFonts w:hint="default" w:ascii="Times New Roman" w:hAnsi="Times New Roman" w:eastAsia="Batang" w:cs="Times New Roman"/>
                <w:sz w:val="20"/>
                <w:szCs w:val="20"/>
                <w:highlight w:val="green"/>
                <w:lang w:val="en-US"/>
              </w:rPr>
            </w:pPr>
            <w:r>
              <w:rPr>
                <w:rFonts w:ascii="Times New Roman" w:hAnsi="Times New Roman" w:eastAsia="Batang" w:cs="Times New Roman"/>
                <w:b/>
                <w:bCs/>
                <w:sz w:val="20"/>
                <w:szCs w:val="20"/>
                <w:highlight w:val="green"/>
              </w:rPr>
              <w:t>Agreement</w:t>
            </w:r>
            <w:r>
              <w:rPr>
                <w:rFonts w:hint="default" w:ascii="Times New Roman" w:hAnsi="Times New Roman" w:eastAsia="Batang" w:cs="Times New Roman"/>
                <w:b/>
                <w:bCs/>
                <w:sz w:val="20"/>
                <w:szCs w:val="20"/>
                <w:highlight w:val="green"/>
                <w:lang w:val="en-US"/>
              </w:rPr>
              <w:t>(RAN1#105-e)</w:t>
            </w:r>
          </w:p>
          <w:p>
            <w:pPr>
              <w:spacing w:before="120" w:after="0" w:line="240" w:lineRule="auto"/>
              <w:rPr>
                <w:rFonts w:ascii="Times New Roman" w:hAnsi="Times New Roman" w:eastAsia="Batang" w:cs="Times New Roman"/>
                <w:iCs/>
                <w:sz w:val="20"/>
                <w:szCs w:val="20"/>
              </w:rPr>
            </w:pPr>
            <w:r>
              <w:rPr>
                <w:rFonts w:ascii="Times New Roman" w:hAnsi="Times New Roman" w:eastAsia="Batang" w:cs="Times New Roman"/>
                <w:iCs/>
                <w:sz w:val="20"/>
                <w:szCs w:val="20"/>
              </w:rPr>
              <w:t>For the new field in the DCI for dynamic switching, support Alt.1 (modified).</w:t>
            </w:r>
          </w:p>
          <w:p>
            <w:pPr>
              <w:spacing w:before="120" w:after="0" w:line="240" w:lineRule="auto"/>
              <w:rPr>
                <w:rFonts w:ascii="Times New Roman" w:hAnsi="Times New Roman" w:eastAsia="Batang" w:cs="Times New Roman"/>
                <w:b/>
                <w:bCs/>
                <w:iCs/>
                <w:sz w:val="20"/>
                <w:szCs w:val="20"/>
                <w:u w:val="single"/>
              </w:rPr>
            </w:pPr>
            <w:r>
              <w:rPr>
                <w:rFonts w:ascii="Times New Roman" w:hAnsi="Times New Roman" w:eastAsia="Batang" w:cs="Times New Roman"/>
                <w:b/>
                <w:bCs/>
                <w:iCs/>
                <w:sz w:val="20"/>
                <w:szCs w:val="20"/>
                <w:u w:val="single"/>
              </w:rPr>
              <w:t>Alt.1</w:t>
            </w:r>
          </w:p>
          <w:p>
            <w:pPr>
              <w:numPr>
                <w:ilvl w:val="0"/>
                <w:numId w:val="16"/>
              </w:numPr>
              <w:spacing w:before="120" w:after="0" w:line="240" w:lineRule="auto"/>
              <w:contextualSpacing/>
              <w:jc w:val="both"/>
              <w:rPr>
                <w:rFonts w:ascii="Times New Roman" w:hAnsi="Times New Roman" w:eastAsia="Batang" w:cs="Times New Roman"/>
                <w:sz w:val="20"/>
                <w:szCs w:val="20"/>
                <w:lang w:eastAsia="zh-CN"/>
              </w:rPr>
            </w:pPr>
            <w:r>
              <w:rPr>
                <w:rFonts w:ascii="Times New Roman" w:hAnsi="Times New Roman" w:eastAsia="Batang" w:cs="Times New Roman"/>
                <w:sz w:val="20"/>
                <w:szCs w:val="20"/>
                <w:lang w:eastAsia="zh-CN"/>
              </w:rPr>
              <w:t xml:space="preserve">Support 2 bits with the following combinations. </w:t>
            </w:r>
          </w:p>
          <w:tbl>
            <w:tblPr>
              <w:tblStyle w:val="50"/>
              <w:tblW w:w="7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4"/>
              <w:gridCol w:w="3114"/>
              <w:gridCol w:w="2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1474"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center"/>
                    <w:rPr>
                      <w:rFonts w:ascii="Times New Roman" w:hAnsi="Times New Roman" w:eastAsia="Batang" w:cs="Times New Roman"/>
                      <w:b/>
                      <w:bCs/>
                      <w:sz w:val="20"/>
                      <w:szCs w:val="20"/>
                      <w:lang w:eastAsia="ja-JP"/>
                    </w:rPr>
                  </w:pPr>
                  <w:r>
                    <w:rPr>
                      <w:rFonts w:ascii="Times New Roman" w:hAnsi="Times New Roman" w:eastAsia="Batang" w:cs="Times New Roman"/>
                      <w:b/>
                      <w:bCs/>
                      <w:sz w:val="20"/>
                      <w:szCs w:val="20"/>
                      <w:lang w:eastAsia="ja-JP"/>
                    </w:rPr>
                    <w:t>Codepoint</w:t>
                  </w:r>
                </w:p>
              </w:tc>
              <w:tc>
                <w:tcPr>
                  <w:tcW w:w="3114"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center"/>
                    <w:rPr>
                      <w:rFonts w:ascii="Times New Roman" w:hAnsi="Times New Roman" w:eastAsia="Batang" w:cs="Times New Roman"/>
                      <w:b/>
                      <w:bCs/>
                      <w:sz w:val="20"/>
                      <w:szCs w:val="20"/>
                      <w:lang w:eastAsia="ja-JP"/>
                    </w:rPr>
                  </w:pPr>
                  <w:r>
                    <w:rPr>
                      <w:rFonts w:ascii="Times New Roman" w:hAnsi="Times New Roman" w:eastAsia="Batang" w:cs="Times New Roman"/>
                      <w:b/>
                      <w:bCs/>
                      <w:sz w:val="20"/>
                      <w:szCs w:val="20"/>
                      <w:lang w:eastAsia="ja-JP"/>
                    </w:rPr>
                    <w:t>SRS resource set(s)</w:t>
                  </w:r>
                </w:p>
              </w:tc>
              <w:tc>
                <w:tcPr>
                  <w:tcW w:w="2917"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center"/>
                    <w:rPr>
                      <w:rFonts w:ascii="Times New Roman" w:hAnsi="Times New Roman" w:eastAsia="Batang" w:cs="Times New Roman"/>
                      <w:b/>
                      <w:bCs/>
                      <w:sz w:val="20"/>
                      <w:szCs w:val="20"/>
                      <w:lang w:eastAsia="ja-JP"/>
                    </w:rPr>
                  </w:pPr>
                  <w:r>
                    <w:rPr>
                      <w:rFonts w:ascii="Times New Roman" w:hAnsi="Times New Roman" w:eastAsia="Batang" w:cs="Times New Roman"/>
                      <w:b/>
                      <w:bCs/>
                      <w:sz w:val="20"/>
                      <w:szCs w:val="20"/>
                      <w:lang w:eastAsia="ja-JP"/>
                    </w:rPr>
                    <w:t>SRI (for both CB and NCB)/TPMI (CB only) 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1474"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center"/>
                    <w:rPr>
                      <w:rFonts w:ascii="Times New Roman" w:hAnsi="Times New Roman" w:eastAsia="Batang" w:cs="Times New Roman"/>
                      <w:sz w:val="20"/>
                      <w:szCs w:val="20"/>
                      <w:lang w:eastAsia="ja-JP"/>
                    </w:rPr>
                  </w:pPr>
                  <w:r>
                    <w:rPr>
                      <w:rFonts w:ascii="Times New Roman" w:hAnsi="Times New Roman" w:eastAsia="Batang" w:cs="Times New Roman"/>
                      <w:sz w:val="20"/>
                      <w:szCs w:val="20"/>
                      <w:lang w:eastAsia="ja-JP"/>
                    </w:rPr>
                    <w:t>00</w:t>
                  </w:r>
                </w:p>
              </w:tc>
              <w:tc>
                <w:tcPr>
                  <w:tcW w:w="3114"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center"/>
                    <w:rPr>
                      <w:rFonts w:ascii="Times New Roman" w:hAnsi="Times New Roman" w:eastAsia="Batang" w:cs="Times New Roman"/>
                      <w:sz w:val="20"/>
                      <w:szCs w:val="20"/>
                      <w:lang w:eastAsia="ja-JP"/>
                    </w:rPr>
                  </w:pPr>
                  <w:r>
                    <w:rPr>
                      <w:rFonts w:ascii="Times New Roman" w:hAnsi="Times New Roman" w:eastAsia="Batang" w:cs="Times New Roman"/>
                      <w:sz w:val="20"/>
                      <w:szCs w:val="20"/>
                      <w:lang w:eastAsia="ja-JP"/>
                    </w:rPr>
                    <w:t>s-TRP mode with 1</w:t>
                  </w:r>
                  <w:r>
                    <w:rPr>
                      <w:rFonts w:ascii="Times New Roman" w:hAnsi="Times New Roman" w:eastAsia="Batang" w:cs="Times New Roman"/>
                      <w:sz w:val="20"/>
                      <w:szCs w:val="20"/>
                      <w:vertAlign w:val="superscript"/>
                      <w:lang w:eastAsia="ja-JP"/>
                    </w:rPr>
                    <w:t>st</w:t>
                  </w:r>
                  <w:r>
                    <w:rPr>
                      <w:rFonts w:ascii="Times New Roman" w:hAnsi="Times New Roman" w:eastAsia="Batang" w:cs="Times New Roman"/>
                      <w:sz w:val="20"/>
                      <w:szCs w:val="20"/>
                      <w:lang w:eastAsia="ja-JP"/>
                    </w:rPr>
                    <w:t xml:space="preserve"> SRS resource set (TRP1)</w:t>
                  </w:r>
                </w:p>
              </w:tc>
              <w:tc>
                <w:tcPr>
                  <w:tcW w:w="2917"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center"/>
                    <w:rPr>
                      <w:rFonts w:ascii="Times New Roman" w:hAnsi="Times New Roman" w:eastAsia="Batang" w:cs="Times New Roman"/>
                      <w:sz w:val="20"/>
                      <w:szCs w:val="20"/>
                      <w:lang w:eastAsia="ja-JP"/>
                    </w:rPr>
                  </w:pPr>
                  <w:r>
                    <w:rPr>
                      <w:rFonts w:ascii="Times New Roman" w:hAnsi="Times New Roman" w:eastAsia="Batang" w:cs="Times New Roman"/>
                      <w:sz w:val="20"/>
                      <w:szCs w:val="20"/>
                      <w:lang w:eastAsia="ja-JP"/>
                    </w:rPr>
                    <w:t>1</w:t>
                  </w:r>
                  <w:r>
                    <w:rPr>
                      <w:rFonts w:ascii="Times New Roman" w:hAnsi="Times New Roman" w:eastAsia="Batang" w:cs="Times New Roman"/>
                      <w:sz w:val="20"/>
                      <w:szCs w:val="20"/>
                      <w:vertAlign w:val="superscript"/>
                      <w:lang w:eastAsia="ja-JP"/>
                    </w:rPr>
                    <w:t>st</w:t>
                  </w:r>
                  <w:r>
                    <w:rPr>
                      <w:rFonts w:ascii="Times New Roman" w:hAnsi="Times New Roman" w:eastAsia="Batang" w:cs="Times New Roman"/>
                      <w:sz w:val="20"/>
                      <w:szCs w:val="20"/>
                      <w:lang w:eastAsia="ja-JP"/>
                    </w:rPr>
                    <w:t xml:space="preserve"> SRI/TPMI field (2</w:t>
                  </w:r>
                  <w:r>
                    <w:rPr>
                      <w:rFonts w:ascii="Times New Roman" w:hAnsi="Times New Roman" w:eastAsia="Batang" w:cs="Times New Roman"/>
                      <w:sz w:val="20"/>
                      <w:szCs w:val="20"/>
                      <w:vertAlign w:val="superscript"/>
                      <w:lang w:eastAsia="ja-JP"/>
                    </w:rPr>
                    <w:t>nd</w:t>
                  </w:r>
                  <w:r>
                    <w:rPr>
                      <w:rFonts w:ascii="Times New Roman" w:hAnsi="Times New Roman" w:eastAsia="Batang" w:cs="Times New Roman"/>
                      <w:sz w:val="20"/>
                      <w:szCs w:val="20"/>
                      <w:lang w:eastAsia="ja-JP"/>
                    </w:rPr>
                    <w:t xml:space="preserve"> field is unused)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 w:hRule="atLeast"/>
                <w:jc w:val="center"/>
              </w:trPr>
              <w:tc>
                <w:tcPr>
                  <w:tcW w:w="1474"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center"/>
                    <w:rPr>
                      <w:rFonts w:ascii="Times New Roman" w:hAnsi="Times New Roman" w:eastAsia="Batang" w:cs="Times New Roman"/>
                      <w:sz w:val="20"/>
                      <w:szCs w:val="20"/>
                      <w:lang w:eastAsia="ja-JP"/>
                    </w:rPr>
                  </w:pPr>
                  <w:r>
                    <w:rPr>
                      <w:rFonts w:ascii="Times New Roman" w:hAnsi="Times New Roman" w:eastAsia="Batang" w:cs="Times New Roman"/>
                      <w:sz w:val="20"/>
                      <w:szCs w:val="20"/>
                      <w:lang w:eastAsia="ja-JP"/>
                    </w:rPr>
                    <w:t>01</w:t>
                  </w:r>
                </w:p>
              </w:tc>
              <w:tc>
                <w:tcPr>
                  <w:tcW w:w="3114"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center"/>
                    <w:rPr>
                      <w:rFonts w:ascii="Times New Roman" w:hAnsi="Times New Roman" w:eastAsia="Batang" w:cs="Times New Roman"/>
                      <w:sz w:val="20"/>
                      <w:szCs w:val="20"/>
                      <w:lang w:eastAsia="ja-JP"/>
                    </w:rPr>
                  </w:pPr>
                  <w:r>
                    <w:rPr>
                      <w:rFonts w:ascii="Times New Roman" w:hAnsi="Times New Roman" w:eastAsia="Batang" w:cs="Times New Roman"/>
                      <w:sz w:val="20"/>
                      <w:szCs w:val="20"/>
                      <w:lang w:eastAsia="ja-JP"/>
                    </w:rPr>
                    <w:t>s-TRP mode with 2</w:t>
                  </w:r>
                  <w:r>
                    <w:rPr>
                      <w:rFonts w:ascii="Times New Roman" w:hAnsi="Times New Roman" w:eastAsia="Batang" w:cs="Times New Roman"/>
                      <w:sz w:val="20"/>
                      <w:szCs w:val="20"/>
                      <w:vertAlign w:val="superscript"/>
                      <w:lang w:eastAsia="ja-JP"/>
                    </w:rPr>
                    <w:t>nd</w:t>
                  </w:r>
                  <w:r>
                    <w:rPr>
                      <w:rFonts w:ascii="Times New Roman" w:hAnsi="Times New Roman" w:eastAsia="Batang" w:cs="Times New Roman"/>
                      <w:sz w:val="20"/>
                      <w:szCs w:val="20"/>
                      <w:lang w:eastAsia="ja-JP"/>
                    </w:rPr>
                    <w:t xml:space="preserve"> SRS resource set (TRP2)</w:t>
                  </w:r>
                </w:p>
              </w:tc>
              <w:tc>
                <w:tcPr>
                  <w:tcW w:w="2917"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center"/>
                    <w:rPr>
                      <w:rFonts w:ascii="Times New Roman" w:hAnsi="Times New Roman" w:eastAsia="Batang" w:cs="Times New Roman"/>
                      <w:sz w:val="20"/>
                      <w:szCs w:val="20"/>
                      <w:lang w:eastAsia="ja-JP"/>
                    </w:rPr>
                  </w:pPr>
                  <w:r>
                    <w:rPr>
                      <w:rFonts w:ascii="Times New Roman" w:hAnsi="Times New Roman" w:eastAsia="Batang" w:cs="Times New Roman"/>
                      <w:sz w:val="20"/>
                      <w:szCs w:val="20"/>
                      <w:lang w:eastAsia="ja-JP"/>
                    </w:rPr>
                    <w:t>1</w:t>
                  </w:r>
                  <w:r>
                    <w:rPr>
                      <w:rFonts w:ascii="Times New Roman" w:hAnsi="Times New Roman" w:eastAsia="Batang" w:cs="Times New Roman"/>
                      <w:sz w:val="20"/>
                      <w:szCs w:val="20"/>
                      <w:vertAlign w:val="superscript"/>
                      <w:lang w:eastAsia="ja-JP"/>
                    </w:rPr>
                    <w:t>st</w:t>
                  </w:r>
                  <w:r>
                    <w:rPr>
                      <w:rFonts w:ascii="Times New Roman" w:hAnsi="Times New Roman" w:eastAsia="Batang" w:cs="Times New Roman"/>
                      <w:sz w:val="20"/>
                      <w:szCs w:val="20"/>
                      <w:lang w:eastAsia="ja-JP"/>
                    </w:rPr>
                    <w:t xml:space="preserve"> SRI/TPMI field (2</w:t>
                  </w:r>
                  <w:r>
                    <w:rPr>
                      <w:rFonts w:ascii="Times New Roman" w:hAnsi="Times New Roman" w:eastAsia="Batang" w:cs="Times New Roman"/>
                      <w:sz w:val="20"/>
                      <w:szCs w:val="20"/>
                      <w:vertAlign w:val="superscript"/>
                      <w:lang w:eastAsia="ja-JP"/>
                    </w:rPr>
                    <w:t>nd</w:t>
                  </w:r>
                  <w:r>
                    <w:rPr>
                      <w:rFonts w:ascii="Times New Roman" w:hAnsi="Times New Roman" w:eastAsia="Batang" w:cs="Times New Roman"/>
                      <w:sz w:val="20"/>
                      <w:szCs w:val="20"/>
                      <w:lang w:eastAsia="ja-JP"/>
                    </w:rPr>
                    <w:t xml:space="preserve"> field is unused)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1474"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center"/>
                    <w:rPr>
                      <w:rFonts w:ascii="Times New Roman" w:hAnsi="Times New Roman" w:eastAsia="Batang" w:cs="Times New Roman"/>
                      <w:sz w:val="20"/>
                      <w:szCs w:val="20"/>
                      <w:lang w:eastAsia="ja-JP"/>
                    </w:rPr>
                  </w:pPr>
                  <w:r>
                    <w:rPr>
                      <w:rFonts w:ascii="Times New Roman" w:hAnsi="Times New Roman" w:eastAsia="Batang" w:cs="Times New Roman"/>
                      <w:sz w:val="20"/>
                      <w:szCs w:val="20"/>
                      <w:lang w:eastAsia="ja-JP"/>
                    </w:rPr>
                    <w:t>10</w:t>
                  </w:r>
                </w:p>
              </w:tc>
              <w:tc>
                <w:tcPr>
                  <w:tcW w:w="3114"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center"/>
                    <w:rPr>
                      <w:rFonts w:ascii="Times New Roman" w:hAnsi="Times New Roman" w:eastAsia="Batang" w:cs="Times New Roman"/>
                      <w:sz w:val="20"/>
                      <w:szCs w:val="20"/>
                      <w:lang w:eastAsia="ja-JP"/>
                    </w:rPr>
                  </w:pPr>
                  <w:r>
                    <w:rPr>
                      <w:rFonts w:ascii="Times New Roman" w:hAnsi="Times New Roman" w:eastAsia="Batang" w:cs="Times New Roman"/>
                      <w:sz w:val="20"/>
                      <w:szCs w:val="20"/>
                      <w:lang w:eastAsia="ja-JP"/>
                    </w:rPr>
                    <w:t>m-TRP mode with (TRP1,TRP2 order)</w:t>
                  </w:r>
                </w:p>
                <w:p>
                  <w:pPr>
                    <w:spacing w:after="0" w:line="240" w:lineRule="auto"/>
                    <w:jc w:val="center"/>
                    <w:rPr>
                      <w:rFonts w:ascii="Times New Roman" w:hAnsi="Times New Roman" w:eastAsia="Batang" w:cs="Times New Roman"/>
                      <w:sz w:val="20"/>
                      <w:szCs w:val="20"/>
                      <w:lang w:eastAsia="ja-JP"/>
                    </w:rPr>
                  </w:pPr>
                  <w:r>
                    <w:rPr>
                      <w:rFonts w:ascii="Times New Roman" w:hAnsi="Times New Roman" w:eastAsia="Batang" w:cs="Times New Roman"/>
                      <w:sz w:val="20"/>
                      <w:szCs w:val="20"/>
                      <w:lang w:eastAsia="ja-JP"/>
                    </w:rPr>
                    <w:t>1</w:t>
                  </w:r>
                  <w:r>
                    <w:rPr>
                      <w:rFonts w:ascii="Times New Roman" w:hAnsi="Times New Roman" w:eastAsia="Batang" w:cs="Times New Roman"/>
                      <w:sz w:val="20"/>
                      <w:szCs w:val="20"/>
                      <w:vertAlign w:val="superscript"/>
                      <w:lang w:eastAsia="ja-JP"/>
                    </w:rPr>
                    <w:t>st</w:t>
                  </w:r>
                  <w:r>
                    <w:rPr>
                      <w:rFonts w:ascii="Times New Roman" w:hAnsi="Times New Roman" w:eastAsia="Batang" w:cs="Times New Roman"/>
                      <w:sz w:val="20"/>
                      <w:szCs w:val="20"/>
                      <w:lang w:eastAsia="ja-JP"/>
                    </w:rPr>
                    <w:t xml:space="preserve"> SRI/TPMI field: 1</w:t>
                  </w:r>
                  <w:r>
                    <w:rPr>
                      <w:rFonts w:ascii="Times New Roman" w:hAnsi="Times New Roman" w:eastAsia="Batang" w:cs="Times New Roman"/>
                      <w:sz w:val="20"/>
                      <w:szCs w:val="20"/>
                      <w:vertAlign w:val="superscript"/>
                      <w:lang w:eastAsia="ja-JP"/>
                    </w:rPr>
                    <w:t xml:space="preserve">st </w:t>
                  </w:r>
                  <w:r>
                    <w:rPr>
                      <w:rFonts w:ascii="Times New Roman" w:hAnsi="Times New Roman" w:eastAsia="Batang" w:cs="Times New Roman"/>
                      <w:sz w:val="20"/>
                      <w:szCs w:val="20"/>
                      <w:lang w:eastAsia="ja-JP"/>
                    </w:rPr>
                    <w:t xml:space="preserve"> SRS resource set</w:t>
                  </w:r>
                </w:p>
                <w:p>
                  <w:pPr>
                    <w:spacing w:after="0" w:line="240" w:lineRule="auto"/>
                    <w:jc w:val="center"/>
                    <w:rPr>
                      <w:rFonts w:ascii="Times New Roman" w:hAnsi="Times New Roman" w:eastAsia="Batang" w:cs="Times New Roman"/>
                      <w:sz w:val="20"/>
                      <w:szCs w:val="20"/>
                      <w:lang w:eastAsia="ja-JP"/>
                    </w:rPr>
                  </w:pPr>
                  <w:r>
                    <w:rPr>
                      <w:rFonts w:ascii="Times New Roman" w:hAnsi="Times New Roman" w:eastAsia="Batang" w:cs="Times New Roman"/>
                      <w:sz w:val="20"/>
                      <w:szCs w:val="20"/>
                      <w:lang w:eastAsia="ja-JP"/>
                    </w:rPr>
                    <w:t>2</w:t>
                  </w:r>
                  <w:r>
                    <w:rPr>
                      <w:rFonts w:ascii="Times New Roman" w:hAnsi="Times New Roman" w:eastAsia="Batang" w:cs="Times New Roman"/>
                      <w:sz w:val="20"/>
                      <w:szCs w:val="20"/>
                      <w:vertAlign w:val="superscript"/>
                      <w:lang w:eastAsia="ja-JP"/>
                    </w:rPr>
                    <w:t>nd</w:t>
                  </w:r>
                  <w:r>
                    <w:rPr>
                      <w:rFonts w:ascii="Times New Roman" w:hAnsi="Times New Roman" w:eastAsia="Batang" w:cs="Times New Roman"/>
                      <w:sz w:val="20"/>
                      <w:szCs w:val="20"/>
                      <w:lang w:eastAsia="ja-JP"/>
                    </w:rPr>
                    <w:t xml:space="preserve"> SRI/TPMI field: 2</w:t>
                  </w:r>
                  <w:r>
                    <w:rPr>
                      <w:rFonts w:ascii="Times New Roman" w:hAnsi="Times New Roman" w:eastAsia="Batang" w:cs="Times New Roman"/>
                      <w:sz w:val="20"/>
                      <w:szCs w:val="20"/>
                      <w:vertAlign w:val="superscript"/>
                      <w:lang w:eastAsia="ja-JP"/>
                    </w:rPr>
                    <w:t xml:space="preserve">nd </w:t>
                  </w:r>
                  <w:r>
                    <w:rPr>
                      <w:rFonts w:ascii="Times New Roman" w:hAnsi="Times New Roman" w:eastAsia="Batang" w:cs="Times New Roman"/>
                      <w:sz w:val="20"/>
                      <w:szCs w:val="20"/>
                      <w:lang w:eastAsia="ja-JP"/>
                    </w:rPr>
                    <w:t>SRS resource set</w:t>
                  </w:r>
                </w:p>
              </w:tc>
              <w:tc>
                <w:tcPr>
                  <w:tcW w:w="2917"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center"/>
                    <w:rPr>
                      <w:rFonts w:ascii="Times New Roman" w:hAnsi="Times New Roman" w:eastAsia="Batang" w:cs="Times New Roman"/>
                      <w:sz w:val="20"/>
                      <w:szCs w:val="20"/>
                      <w:lang w:eastAsia="ja-JP"/>
                    </w:rPr>
                  </w:pPr>
                  <w:r>
                    <w:rPr>
                      <w:rFonts w:ascii="Times New Roman" w:hAnsi="Times New Roman" w:eastAsia="Batang" w:cs="Times New Roman"/>
                      <w:sz w:val="20"/>
                      <w:szCs w:val="20"/>
                      <w:lang w:eastAsia="ja-JP"/>
                    </w:rPr>
                    <w:t>Both 1</w:t>
                  </w:r>
                  <w:r>
                    <w:rPr>
                      <w:rFonts w:ascii="Times New Roman" w:hAnsi="Times New Roman" w:eastAsia="Batang" w:cs="Times New Roman"/>
                      <w:sz w:val="20"/>
                      <w:szCs w:val="20"/>
                      <w:vertAlign w:val="superscript"/>
                      <w:lang w:eastAsia="ja-JP"/>
                    </w:rPr>
                    <w:t>st</w:t>
                  </w:r>
                  <w:r>
                    <w:rPr>
                      <w:rFonts w:ascii="Times New Roman" w:hAnsi="Times New Roman" w:eastAsia="Batang" w:cs="Times New Roman"/>
                      <w:sz w:val="20"/>
                      <w:szCs w:val="20"/>
                      <w:lang w:eastAsia="ja-JP"/>
                    </w:rPr>
                    <w:t xml:space="preserve"> and 2</w:t>
                  </w:r>
                  <w:r>
                    <w:rPr>
                      <w:rFonts w:ascii="Times New Roman" w:hAnsi="Times New Roman" w:eastAsia="Batang" w:cs="Times New Roman"/>
                      <w:sz w:val="20"/>
                      <w:szCs w:val="20"/>
                      <w:vertAlign w:val="superscript"/>
                      <w:lang w:eastAsia="ja-JP"/>
                    </w:rPr>
                    <w:t>nd</w:t>
                  </w:r>
                  <w:r>
                    <w:rPr>
                      <w:rFonts w:ascii="Times New Roman" w:hAnsi="Times New Roman" w:eastAsia="Batang" w:cs="Times New Roman"/>
                      <w:sz w:val="20"/>
                      <w:szCs w:val="20"/>
                      <w:lang w:eastAsia="ja-JP"/>
                    </w:rPr>
                    <w:t xml:space="preserve"> SRI/TPMI 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jc w:val="center"/>
              </w:trPr>
              <w:tc>
                <w:tcPr>
                  <w:tcW w:w="1474"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center"/>
                    <w:rPr>
                      <w:rFonts w:ascii="Times New Roman" w:hAnsi="Times New Roman" w:eastAsia="Batang" w:cs="Times New Roman"/>
                      <w:sz w:val="20"/>
                      <w:szCs w:val="20"/>
                      <w:lang w:eastAsia="ja-JP"/>
                    </w:rPr>
                  </w:pPr>
                  <w:r>
                    <w:rPr>
                      <w:rFonts w:ascii="Times New Roman" w:hAnsi="Times New Roman" w:eastAsia="Batang" w:cs="Times New Roman"/>
                      <w:sz w:val="20"/>
                      <w:szCs w:val="20"/>
                      <w:lang w:eastAsia="ja-JP"/>
                    </w:rPr>
                    <w:t>11</w:t>
                  </w:r>
                </w:p>
              </w:tc>
              <w:tc>
                <w:tcPr>
                  <w:tcW w:w="3114"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center"/>
                    <w:rPr>
                      <w:rFonts w:ascii="Times New Roman" w:hAnsi="Times New Roman" w:eastAsia="Batang" w:cs="Times New Roman"/>
                      <w:sz w:val="20"/>
                      <w:szCs w:val="20"/>
                      <w:lang w:eastAsia="ja-JP"/>
                    </w:rPr>
                  </w:pPr>
                  <w:r>
                    <w:rPr>
                      <w:rFonts w:ascii="Times New Roman" w:hAnsi="Times New Roman" w:eastAsia="Batang" w:cs="Times New Roman"/>
                      <w:sz w:val="20"/>
                      <w:szCs w:val="20"/>
                      <w:lang w:eastAsia="ja-JP"/>
                    </w:rPr>
                    <w:t>m-TRP mode with (TRP2,TRP1 order)</w:t>
                  </w:r>
                </w:p>
                <w:p>
                  <w:pPr>
                    <w:spacing w:after="0" w:line="240" w:lineRule="auto"/>
                    <w:jc w:val="center"/>
                    <w:rPr>
                      <w:rFonts w:ascii="Times New Roman" w:hAnsi="Times New Roman" w:eastAsia="Batang" w:cs="Times New Roman"/>
                      <w:sz w:val="20"/>
                      <w:szCs w:val="20"/>
                      <w:lang w:eastAsia="ja-JP"/>
                    </w:rPr>
                  </w:pPr>
                  <w:r>
                    <w:rPr>
                      <w:rFonts w:ascii="Times New Roman" w:hAnsi="Times New Roman" w:eastAsia="Batang" w:cs="Times New Roman"/>
                      <w:sz w:val="20"/>
                      <w:szCs w:val="20"/>
                      <w:lang w:eastAsia="ja-JP"/>
                    </w:rPr>
                    <w:t>1</w:t>
                  </w:r>
                  <w:r>
                    <w:rPr>
                      <w:rFonts w:ascii="Times New Roman" w:hAnsi="Times New Roman" w:eastAsia="Batang" w:cs="Times New Roman"/>
                      <w:sz w:val="20"/>
                      <w:szCs w:val="20"/>
                      <w:vertAlign w:val="superscript"/>
                      <w:lang w:eastAsia="ja-JP"/>
                    </w:rPr>
                    <w:t>st</w:t>
                  </w:r>
                  <w:r>
                    <w:rPr>
                      <w:rFonts w:ascii="Times New Roman" w:hAnsi="Times New Roman" w:eastAsia="Batang" w:cs="Times New Roman"/>
                      <w:sz w:val="20"/>
                      <w:szCs w:val="20"/>
                      <w:lang w:eastAsia="ja-JP"/>
                    </w:rPr>
                    <w:t xml:space="preserve"> SRI/TPMI field: FFS</w:t>
                  </w:r>
                </w:p>
                <w:p>
                  <w:pPr>
                    <w:spacing w:after="0" w:line="240" w:lineRule="auto"/>
                    <w:jc w:val="center"/>
                    <w:rPr>
                      <w:rFonts w:ascii="Times New Roman" w:hAnsi="Times New Roman" w:eastAsia="Batang" w:cs="Times New Roman"/>
                      <w:sz w:val="20"/>
                      <w:szCs w:val="20"/>
                      <w:lang w:eastAsia="ja-JP"/>
                    </w:rPr>
                  </w:pPr>
                  <w:r>
                    <w:rPr>
                      <w:rFonts w:ascii="Times New Roman" w:hAnsi="Times New Roman" w:eastAsia="Batang" w:cs="Times New Roman"/>
                      <w:sz w:val="20"/>
                      <w:szCs w:val="20"/>
                      <w:lang w:eastAsia="ja-JP"/>
                    </w:rPr>
                    <w:t>2</w:t>
                  </w:r>
                  <w:r>
                    <w:rPr>
                      <w:rFonts w:ascii="Times New Roman" w:hAnsi="Times New Roman" w:eastAsia="Batang" w:cs="Times New Roman"/>
                      <w:sz w:val="20"/>
                      <w:szCs w:val="20"/>
                      <w:vertAlign w:val="superscript"/>
                      <w:lang w:eastAsia="ja-JP"/>
                    </w:rPr>
                    <w:t>nd</w:t>
                  </w:r>
                  <w:r>
                    <w:rPr>
                      <w:rFonts w:ascii="Times New Roman" w:hAnsi="Times New Roman" w:eastAsia="Batang" w:cs="Times New Roman"/>
                      <w:sz w:val="20"/>
                      <w:szCs w:val="20"/>
                      <w:lang w:eastAsia="ja-JP"/>
                    </w:rPr>
                    <w:t xml:space="preserve"> SRI/TPMI field: FFS</w:t>
                  </w:r>
                </w:p>
              </w:tc>
              <w:tc>
                <w:tcPr>
                  <w:tcW w:w="2917"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center"/>
                    <w:rPr>
                      <w:rFonts w:ascii="Times New Roman" w:hAnsi="Times New Roman" w:eastAsia="Batang" w:cs="Times New Roman"/>
                      <w:sz w:val="20"/>
                      <w:szCs w:val="20"/>
                      <w:lang w:eastAsia="ja-JP"/>
                    </w:rPr>
                  </w:pPr>
                  <w:r>
                    <w:rPr>
                      <w:rFonts w:ascii="Times New Roman" w:hAnsi="Times New Roman" w:eastAsia="Batang" w:cs="Times New Roman"/>
                      <w:sz w:val="20"/>
                      <w:szCs w:val="20"/>
                      <w:lang w:eastAsia="ja-JP"/>
                    </w:rPr>
                    <w:t>Both 1</w:t>
                  </w:r>
                  <w:r>
                    <w:rPr>
                      <w:rFonts w:ascii="Times New Roman" w:hAnsi="Times New Roman" w:eastAsia="Batang" w:cs="Times New Roman"/>
                      <w:sz w:val="20"/>
                      <w:szCs w:val="20"/>
                      <w:vertAlign w:val="superscript"/>
                      <w:lang w:eastAsia="ja-JP"/>
                    </w:rPr>
                    <w:t>st</w:t>
                  </w:r>
                  <w:r>
                    <w:rPr>
                      <w:rFonts w:ascii="Times New Roman" w:hAnsi="Times New Roman" w:eastAsia="Batang" w:cs="Times New Roman"/>
                      <w:sz w:val="20"/>
                      <w:szCs w:val="20"/>
                      <w:lang w:eastAsia="ja-JP"/>
                    </w:rPr>
                    <w:t xml:space="preserve"> and 2</w:t>
                  </w:r>
                  <w:r>
                    <w:rPr>
                      <w:rFonts w:ascii="Times New Roman" w:hAnsi="Times New Roman" w:eastAsia="Batang" w:cs="Times New Roman"/>
                      <w:sz w:val="20"/>
                      <w:szCs w:val="20"/>
                      <w:vertAlign w:val="superscript"/>
                      <w:lang w:eastAsia="ja-JP"/>
                    </w:rPr>
                    <w:t>nd</w:t>
                  </w:r>
                  <w:r>
                    <w:rPr>
                      <w:rFonts w:ascii="Times New Roman" w:hAnsi="Times New Roman" w:eastAsia="Batang" w:cs="Times New Roman"/>
                      <w:sz w:val="20"/>
                      <w:szCs w:val="20"/>
                      <w:lang w:eastAsia="ja-JP"/>
                    </w:rPr>
                    <w:t xml:space="preserve"> SRI/TPMI fields</w:t>
                  </w:r>
                </w:p>
              </w:tc>
            </w:tr>
          </w:tbl>
          <w:p>
            <w:pPr>
              <w:numPr>
                <w:ilvl w:val="0"/>
                <w:numId w:val="16"/>
              </w:numPr>
              <w:spacing w:before="120" w:after="0" w:line="240" w:lineRule="auto"/>
              <w:contextualSpacing/>
              <w:jc w:val="both"/>
              <w:rPr>
                <w:rFonts w:ascii="Times New Roman" w:hAnsi="Times New Roman" w:eastAsia="Batang" w:cs="Times New Roman"/>
                <w:sz w:val="20"/>
                <w:szCs w:val="20"/>
                <w:lang w:eastAsia="zh-CN"/>
              </w:rPr>
            </w:pPr>
            <w:r>
              <w:rPr>
                <w:rFonts w:ascii="Times New Roman" w:hAnsi="Times New Roman" w:eastAsia="Batang" w:cs="Times New Roman"/>
                <w:sz w:val="20"/>
                <w:szCs w:val="20"/>
                <w:lang w:eastAsia="zh-CN"/>
              </w:rPr>
              <w:t xml:space="preserve">The SRS resource set with lower ID is the first SRS resource set, and the other SRS resource set is the second SRS resource set. </w:t>
            </w:r>
            <w:bookmarkStart w:id="4" w:name="_GoBack"/>
            <w:bookmarkEnd w:id="4"/>
          </w:p>
          <w:p>
            <w:pPr>
              <w:numPr>
                <w:ilvl w:val="1"/>
                <w:numId w:val="17"/>
              </w:numPr>
              <w:spacing w:before="120" w:after="0" w:line="240" w:lineRule="auto"/>
              <w:contextualSpacing/>
              <w:rPr>
                <w:rFonts w:ascii="Times New Roman" w:hAnsi="Times New Roman" w:eastAsia="Batang" w:cs="Times New Roman"/>
                <w:color w:val="auto"/>
                <w:sz w:val="20"/>
                <w:szCs w:val="20"/>
                <w:lang w:eastAsia="zh-CN"/>
              </w:rPr>
            </w:pPr>
            <w:r>
              <w:rPr>
                <w:rFonts w:ascii="Times New Roman" w:hAnsi="Times New Roman" w:eastAsia="Batang" w:cs="Times New Roman"/>
                <w:color w:val="auto"/>
                <w:sz w:val="20"/>
                <w:szCs w:val="20"/>
                <w:lang w:eastAsia="zh-CN"/>
              </w:rPr>
              <w:t>For codebook and non-codebook usage, respectively</w:t>
            </w:r>
          </w:p>
          <w:p>
            <w:pPr>
              <w:numPr>
                <w:ilvl w:val="0"/>
                <w:numId w:val="17"/>
              </w:numPr>
              <w:spacing w:before="120" w:after="0" w:line="240" w:lineRule="auto"/>
              <w:ind w:left="720" w:leftChars="0" w:hanging="360" w:firstLineChars="0"/>
              <w:contextualSpacing/>
              <w:rPr>
                <w:rFonts w:ascii="Times New Roman" w:hAnsi="Times New Roman" w:eastAsia="Batang" w:cs="Times New Roman"/>
                <w:color w:val="auto"/>
                <w:sz w:val="20"/>
                <w:szCs w:val="20"/>
                <w:lang w:eastAsia="zh-CN"/>
              </w:rPr>
            </w:pPr>
            <w:r>
              <w:rPr>
                <w:rFonts w:ascii="Times New Roman" w:hAnsi="Times New Roman" w:eastAsia="Batang" w:cs="Times New Roman"/>
                <w:color w:val="auto"/>
                <w:sz w:val="20"/>
                <w:szCs w:val="20"/>
                <w:lang w:eastAsia="zh-CN"/>
              </w:rPr>
              <w:t>The same number of SRS resource shall be configured in the two SRS resource sets.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line="280" w:lineRule="atLeast"/>
              <w:textAlignment w:val="baseline"/>
              <w:rPr>
                <w:rFonts w:hint="default" w:ascii="Times New Roman" w:hAnsi="Times New Roman" w:eastAsia="Batang" w:cs="Times New Roman"/>
                <w:strike/>
                <w:color w:val="FF0000"/>
                <w:sz w:val="20"/>
                <w:szCs w:val="20"/>
                <w:lang w:val="en-US" w:eastAsia="zh-CN"/>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ind w:leftChars="0"/>
        <w:textAlignment w:val="baseline"/>
        <w:rPr>
          <w:rFonts w:hint="default"/>
          <w:lang w:val="en-US" w:eastAsia="zh-CN"/>
        </w:rPr>
      </w:pPr>
      <w:r>
        <w:rPr>
          <w:rFonts w:hint="default"/>
          <w:lang w:val="en-US" w:eastAsia="zh-CN"/>
        </w:rPr>
        <w:t>Since we have agreed that an event is regarded as a dynamic event if it is triggered by a DCI or MAC CE, UL beam switching in multi-TRP operation should be regarded as a dynamic event.</w:t>
      </w:r>
    </w:p>
    <w:p>
      <w:pPr>
        <w:keepNext w:val="0"/>
        <w:keepLines w:val="0"/>
        <w:pageBreakBefore w:val="0"/>
        <w:widowControl/>
        <w:numPr>
          <w:ilvl w:val="0"/>
          <w:numId w:val="0"/>
        </w:numPr>
        <w:kinsoku/>
        <w:wordWrap/>
        <w:overflowPunct w:val="0"/>
        <w:topLinePunct w:val="0"/>
        <w:autoSpaceDE w:val="0"/>
        <w:autoSpaceDN w:val="0"/>
        <w:bidi w:val="0"/>
        <w:adjustRightInd w:val="0"/>
        <w:snapToGrid w:val="0"/>
        <w:ind w:leftChars="0"/>
        <w:textAlignment w:val="baseline"/>
        <w:rPr>
          <w:rFonts w:hint="default"/>
          <w:i/>
          <w:iCs/>
          <w:lang w:val="en-US" w:eastAsia="zh-CN"/>
        </w:rPr>
      </w:pPr>
      <w:r>
        <w:rPr>
          <w:rFonts w:hint="default"/>
          <w:b/>
          <w:bCs/>
          <w:i/>
          <w:iCs/>
          <w:lang w:val="en-US" w:eastAsia="zh-CN"/>
        </w:rPr>
        <w:t>Proposal 2:</w:t>
      </w:r>
      <w:r>
        <w:rPr>
          <w:rFonts w:hint="default"/>
          <w:i/>
          <w:iCs/>
          <w:lang w:val="en-US" w:eastAsia="zh-CN"/>
        </w:rPr>
        <w:t xml:space="preserve"> UL beam switching in multi-TRP operation should be regarded as a dynamic event.</w:t>
      </w:r>
    </w:p>
    <w:p>
      <w:pPr>
        <w:pStyle w:val="2"/>
        <w:tabs>
          <w:tab w:val="left" w:pos="432"/>
        </w:tabs>
        <w:spacing w:beforeLines="0" w:after="180" w:afterLines="50"/>
      </w:pPr>
      <w:r>
        <w:rPr>
          <w:rFonts w:hint="eastAsia"/>
        </w:rPr>
        <w:t>Conclusion</w:t>
      </w:r>
    </w:p>
    <w:p>
      <w:p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According to the analysis given above, we have the following</w:t>
      </w:r>
      <w:r>
        <w:rPr>
          <w:rFonts w:hint="default" w:ascii="Times New Roman" w:hAnsi="Times New Roman" w:cs="Times New Roman"/>
          <w:lang w:val="en-US" w:eastAsia="zh-CN"/>
        </w:rPr>
        <w:t xml:space="preserve"> </w:t>
      </w:r>
      <w:r>
        <w:rPr>
          <w:rFonts w:hint="default" w:ascii="Times New Roman" w:hAnsi="Times New Roman" w:eastAsia="宋体" w:cs="Times New Roman"/>
          <w:lang w:val="en-US" w:eastAsia="zh-CN"/>
        </w:rPr>
        <w:t>proposals:</w:t>
      </w:r>
    </w:p>
    <w:p>
      <w:pPr>
        <w:pStyle w:val="114"/>
        <w:numPr>
          <w:ilvl w:val="-1"/>
          <w:numId w:val="0"/>
        </w:numPr>
        <w:spacing w:before="120" w:after="137" w:afterLines="50" w:line="280" w:lineRule="atLeast"/>
        <w:ind w:leftChars="0"/>
        <w:rPr>
          <w:rFonts w:hint="default" w:cs="Times New Roman"/>
          <w:i/>
          <w:iCs/>
          <w:lang w:val="en-US" w:eastAsia="zh-CN"/>
        </w:rPr>
      </w:pPr>
      <w:r>
        <w:rPr>
          <w:rFonts w:hint="default" w:cs="Times New Roman"/>
          <w:b/>
          <w:bCs/>
          <w:i/>
          <w:iCs/>
          <w:lang w:val="en-US" w:eastAsia="zh-CN"/>
        </w:rPr>
        <w:t xml:space="preserve">Proposal 1: </w:t>
      </w:r>
      <w:r>
        <w:rPr>
          <w:rFonts w:hint="default" w:cs="Times New Roman"/>
          <w:b w:val="0"/>
          <w:bCs w:val="0"/>
          <w:i/>
          <w:iCs/>
          <w:lang w:val="en-US" w:eastAsia="zh-CN"/>
        </w:rPr>
        <w:t xml:space="preserve">The working assumption below is confirmed with not allowing TPC </w:t>
      </w:r>
      <w:r>
        <w:rPr>
          <w:rFonts w:ascii="Times New Roman" w:hAnsi="Times New Roman" w:eastAsia="Calibri"/>
          <w:b w:val="0"/>
          <w:bCs w:val="0"/>
          <w:i/>
          <w:iCs/>
          <w:szCs w:val="22"/>
        </w:rPr>
        <w:t>command to take effect during a configured TDW</w:t>
      </w:r>
      <w:r>
        <w:rPr>
          <w:rFonts w:hint="default"/>
          <w:b w:val="0"/>
          <w:bCs w:val="0"/>
          <w:i/>
          <w:iCs/>
          <w:szCs w:val="22"/>
          <w:lang w:val="en-US" w:eastAsia="zh-CN"/>
        </w:rPr>
        <w:t xml:space="preserve"> if</w:t>
      </w:r>
      <w:r>
        <w:rPr>
          <w:rFonts w:hint="eastAsia"/>
          <w:b w:val="0"/>
          <w:bCs w:val="0"/>
          <w:i/>
          <w:iCs/>
          <w:szCs w:val="22"/>
          <w:lang w:val="en-US" w:eastAsia="zh-CN"/>
        </w:rPr>
        <w:t xml:space="preserve"> </w:t>
      </w:r>
      <w:r>
        <w:rPr>
          <w:b w:val="0"/>
          <w:bCs w:val="0"/>
          <w:i/>
          <w:iCs/>
          <w:sz w:val="20"/>
          <w:szCs w:val="22"/>
          <w:lang w:eastAsia="zh-CN"/>
        </w:rPr>
        <w:t>UE is not configured to accumulate TPC commands</w:t>
      </w:r>
      <w:r>
        <w:rPr>
          <w:rFonts w:hint="eastAsia"/>
          <w:b w:val="0"/>
          <w:bCs w:val="0"/>
          <w:i/>
          <w:iCs/>
          <w:sz w:val="20"/>
          <w:szCs w:val="22"/>
          <w:lang w:val="en-US" w:eastAsia="zh-CN"/>
        </w:rPr>
        <w:t xml:space="preserve">. </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kinsoku/>
              <w:wordWrap/>
              <w:topLinePunct w:val="0"/>
              <w:autoSpaceDE w:val="0"/>
              <w:autoSpaceDN w:val="0"/>
              <w:bidi w:val="0"/>
              <w:adjustRightInd w:val="0"/>
              <w:snapToGrid w:val="0"/>
              <w:spacing w:before="120" w:after="0" w:line="280" w:lineRule="atLeast"/>
              <w:rPr>
                <w:rFonts w:ascii="Times New Roman" w:hAnsi="Times New Roman"/>
                <w:b/>
                <w:highlight w:val="darkYellow"/>
              </w:rPr>
            </w:pPr>
            <w:r>
              <w:rPr>
                <w:rFonts w:ascii="Times New Roman" w:hAnsi="Times New Roman"/>
                <w:b/>
                <w:highlight w:val="darkYellow"/>
              </w:rPr>
              <w:t>Working assumption:</w:t>
            </w:r>
          </w:p>
          <w:p>
            <w:pPr>
              <w:pStyle w:val="114"/>
              <w:keepNext w:val="0"/>
              <w:keepLines w:val="0"/>
              <w:pageBreakBefore w:val="0"/>
              <w:widowControl/>
              <w:numPr>
                <w:ilvl w:val="0"/>
                <w:numId w:val="10"/>
              </w:numPr>
              <w:kinsoku/>
              <w:wordWrap/>
              <w:topLinePunct w:val="0"/>
              <w:autoSpaceDE w:val="0"/>
              <w:autoSpaceDN w:val="0"/>
              <w:bidi w:val="0"/>
              <w:adjustRightInd w:val="0"/>
              <w:snapToGrid w:val="0"/>
              <w:spacing w:before="120" w:after="0" w:line="259" w:lineRule="auto"/>
              <w:ind w:leftChars="0"/>
              <w:jc w:val="both"/>
              <w:rPr>
                <w:sz w:val="21"/>
                <w:szCs w:val="21"/>
                <w:lang w:eastAsia="zh-CN"/>
              </w:rPr>
            </w:pPr>
            <w:r>
              <w:rPr>
                <w:sz w:val="21"/>
                <w:szCs w:val="21"/>
                <w:lang w:eastAsia="zh-CN"/>
              </w:rPr>
              <w:t>The action of group common TPC commands with format 2_2 does not constitute an event that violates power consistency and phase continuity.</w:t>
            </w:r>
          </w:p>
          <w:p>
            <w:pPr>
              <w:pStyle w:val="114"/>
              <w:keepNext w:val="0"/>
              <w:keepLines w:val="0"/>
              <w:pageBreakBefore w:val="0"/>
              <w:widowControl/>
              <w:numPr>
                <w:ilvl w:val="1"/>
                <w:numId w:val="11"/>
              </w:numPr>
              <w:kinsoku/>
              <w:wordWrap/>
              <w:topLinePunct w:val="0"/>
              <w:autoSpaceDE w:val="0"/>
              <w:autoSpaceDN w:val="0"/>
              <w:bidi w:val="0"/>
              <w:adjustRightInd w:val="0"/>
              <w:snapToGrid w:val="0"/>
              <w:spacing w:before="120" w:after="0" w:line="280" w:lineRule="atLeast"/>
              <w:ind w:left="780" w:leftChars="0"/>
              <w:jc w:val="both"/>
              <w:rPr>
                <w:sz w:val="21"/>
                <w:szCs w:val="21"/>
              </w:rPr>
            </w:pPr>
            <w:r>
              <w:rPr>
                <w:sz w:val="21"/>
                <w:szCs w:val="21"/>
                <w:lang w:eastAsia="zh-CN"/>
              </w:rPr>
              <w:t xml:space="preserve">If UE is configured to </w:t>
            </w:r>
            <w:r>
              <w:rPr>
                <w:bCs/>
                <w:sz w:val="21"/>
                <w:szCs w:val="21"/>
              </w:rPr>
              <w:t>accumulate TPC commands,</w:t>
            </w:r>
          </w:p>
          <w:p>
            <w:pPr>
              <w:keepNext w:val="0"/>
              <w:keepLines w:val="0"/>
              <w:pageBreakBefore w:val="0"/>
              <w:widowControl/>
              <w:numPr>
                <w:ilvl w:val="2"/>
                <w:numId w:val="12"/>
              </w:numPr>
              <w:kinsoku/>
              <w:wordWrap/>
              <w:topLinePunct w:val="0"/>
              <w:autoSpaceDE w:val="0"/>
              <w:autoSpaceDN w:val="0"/>
              <w:bidi w:val="0"/>
              <w:adjustRightInd w:val="0"/>
              <w:snapToGrid w:val="0"/>
              <w:spacing w:before="120" w:after="0" w:line="280" w:lineRule="atLeast"/>
              <w:jc w:val="both"/>
              <w:rPr>
                <w:rFonts w:ascii="Times New Roman" w:hAnsi="Times New Roman" w:eastAsia="宋体"/>
                <w:szCs w:val="21"/>
              </w:rPr>
            </w:pPr>
            <w:r>
              <w:rPr>
                <w:rFonts w:ascii="Times New Roman" w:hAnsi="Times New Roman" w:eastAsia="宋体"/>
                <w:szCs w:val="21"/>
              </w:rPr>
              <w:t>If UE receives TPC commands that would take into effect during a configured TDW, UE accumulates TPC commands without taking effect during the current configured TDW. TPC commands take effect after the current configured TDW.</w:t>
            </w:r>
          </w:p>
          <w:p>
            <w:pPr>
              <w:pStyle w:val="114"/>
              <w:keepNext w:val="0"/>
              <w:keepLines w:val="0"/>
              <w:pageBreakBefore w:val="0"/>
              <w:widowControl/>
              <w:numPr>
                <w:ilvl w:val="1"/>
                <w:numId w:val="11"/>
              </w:numPr>
              <w:kinsoku/>
              <w:wordWrap/>
              <w:topLinePunct w:val="0"/>
              <w:autoSpaceDE w:val="0"/>
              <w:autoSpaceDN w:val="0"/>
              <w:bidi w:val="0"/>
              <w:adjustRightInd w:val="0"/>
              <w:snapToGrid w:val="0"/>
              <w:spacing w:before="120" w:after="0" w:line="280" w:lineRule="atLeast"/>
              <w:ind w:left="780" w:leftChars="0"/>
              <w:jc w:val="both"/>
              <w:rPr>
                <w:sz w:val="21"/>
                <w:szCs w:val="21"/>
                <w:lang w:eastAsia="zh-CN"/>
              </w:rPr>
            </w:pPr>
            <w:r>
              <w:rPr>
                <w:sz w:val="21"/>
                <w:szCs w:val="21"/>
                <w:lang w:eastAsia="zh-CN"/>
              </w:rPr>
              <w:t>If UE is not configured to accumulate TPC commands</w:t>
            </w:r>
          </w:p>
          <w:p>
            <w:pPr>
              <w:keepNext w:val="0"/>
              <w:keepLines w:val="0"/>
              <w:pageBreakBefore w:val="0"/>
              <w:widowControl/>
              <w:numPr>
                <w:ilvl w:val="2"/>
                <w:numId w:val="12"/>
              </w:numPr>
              <w:kinsoku/>
              <w:wordWrap/>
              <w:topLinePunct w:val="0"/>
              <w:autoSpaceDE w:val="0"/>
              <w:autoSpaceDN w:val="0"/>
              <w:bidi w:val="0"/>
              <w:adjustRightInd w:val="0"/>
              <w:snapToGrid w:val="0"/>
              <w:spacing w:before="120" w:after="0" w:line="280" w:lineRule="atLeast"/>
              <w:jc w:val="both"/>
              <w:rPr>
                <w:rFonts w:ascii="Times New Roman" w:hAnsi="Times New Roman" w:eastAsia="宋体"/>
                <w:szCs w:val="21"/>
              </w:rPr>
            </w:pPr>
            <w:r>
              <w:rPr>
                <w:rFonts w:ascii="Times New Roman" w:hAnsi="Times New Roman" w:eastAsia="宋体"/>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pPr>
              <w:keepNext w:val="0"/>
              <w:keepLines w:val="0"/>
              <w:pageBreakBefore w:val="0"/>
              <w:widowControl/>
              <w:numPr>
                <w:ilvl w:val="3"/>
                <w:numId w:val="12"/>
              </w:numPr>
              <w:kinsoku/>
              <w:wordWrap/>
              <w:topLinePunct w:val="0"/>
              <w:autoSpaceDE w:val="0"/>
              <w:autoSpaceDN w:val="0"/>
              <w:bidi w:val="0"/>
              <w:adjustRightInd w:val="0"/>
              <w:snapToGrid w:val="0"/>
              <w:spacing w:before="120" w:after="0" w:line="280" w:lineRule="atLeast"/>
              <w:jc w:val="both"/>
              <w:rPr>
                <w:rFonts w:ascii="Times New Roman" w:hAnsi="Times New Roman" w:eastAsia="宋体"/>
                <w:color w:val="FF0000"/>
                <w:szCs w:val="21"/>
                <w:u w:val="single"/>
              </w:rPr>
            </w:pPr>
            <w:r>
              <w:rPr>
                <w:rFonts w:hint="eastAsia"/>
                <w:color w:val="FF0000"/>
                <w:szCs w:val="21"/>
                <w:u w:val="single"/>
                <w:lang w:val="en-US" w:eastAsia="zh-CN"/>
              </w:rPr>
              <w:t>No</w:t>
            </w:r>
            <w:r>
              <w:rPr>
                <w:rFonts w:ascii="Times New Roman" w:hAnsi="Times New Roman" w:eastAsia="宋体"/>
                <w:color w:val="FF0000"/>
                <w:szCs w:val="21"/>
                <w:u w:val="single"/>
              </w:rPr>
              <w:t xml:space="preserve"> TPC command is expected to take effect during a configured TDW.</w:t>
            </w:r>
          </w:p>
          <w:p>
            <w:pPr>
              <w:numPr>
                <w:ilvl w:val="0"/>
                <w:numId w:val="0"/>
              </w:numPr>
              <w:spacing w:before="120" w:line="280" w:lineRule="atLeast"/>
              <w:rPr>
                <w:rFonts w:hint="default" w:cs="Times New Roman"/>
                <w:i/>
                <w:iCs/>
                <w:vertAlign w:val="baseline"/>
                <w:lang w:val="en-US" w:eastAsia="zh-CN"/>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37" w:beforeLines="50"/>
        <w:ind w:leftChars="0"/>
        <w:textAlignment w:val="baseline"/>
        <w:rPr>
          <w:rFonts w:hint="default"/>
          <w:i/>
          <w:iCs/>
          <w:lang w:val="en-US" w:eastAsia="zh-CN"/>
        </w:rPr>
      </w:pPr>
      <w:r>
        <w:rPr>
          <w:rFonts w:hint="default"/>
          <w:b/>
          <w:bCs/>
          <w:i/>
          <w:iCs/>
          <w:lang w:val="en-US" w:eastAsia="zh-CN"/>
        </w:rPr>
        <w:t>Proposal 2:</w:t>
      </w:r>
      <w:r>
        <w:rPr>
          <w:rFonts w:hint="default"/>
          <w:i/>
          <w:iCs/>
          <w:lang w:val="en-US" w:eastAsia="zh-CN"/>
        </w:rPr>
        <w:t xml:space="preserve"> UL beam switching in multi-TRP operation should be regarded as a dynamic event.</w:t>
      </w:r>
    </w:p>
    <w:p>
      <w:pPr>
        <w:pStyle w:val="2"/>
        <w:rPr>
          <w:lang w:eastAsia="zh-CN"/>
        </w:rPr>
      </w:pPr>
      <w:r>
        <w:rPr>
          <w:rFonts w:hint="eastAsia"/>
          <w:lang w:eastAsia="zh-CN"/>
        </w:rPr>
        <w:t>R</w:t>
      </w:r>
      <w:r>
        <w:rPr>
          <w:lang w:eastAsia="zh-CN"/>
        </w:rPr>
        <w:t>eference</w:t>
      </w:r>
    </w:p>
    <w:p>
      <w:pPr>
        <w:pStyle w:val="126"/>
        <w:rPr>
          <w:lang w:eastAsia="zh-CN"/>
        </w:rPr>
      </w:pPr>
      <w:bookmarkStart w:id="3" w:name="_Ref525119031"/>
      <w:r>
        <w:rPr>
          <w:rFonts w:hint="default" w:ascii="Times New Roman" w:hAnsi="Times New Roman" w:cs="Times New Roman"/>
          <w:sz w:val="20"/>
          <w:szCs w:val="15"/>
          <w:highlight w:val="none"/>
          <w:lang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eastAsia="zh-CN"/>
        </w:rPr>
        <w:t>#</w:t>
      </w:r>
      <w:r>
        <w:rPr>
          <w:rFonts w:hint="eastAsia" w:ascii="Times New Roman" w:hAnsi="Times New Roman" w:cs="Times New Roman"/>
          <w:sz w:val="20"/>
          <w:szCs w:val="15"/>
          <w:highlight w:val="none"/>
          <w:lang w:val="en-US" w:eastAsia="zh-CN"/>
        </w:rPr>
        <w:t>10</w:t>
      </w:r>
      <w:r>
        <w:rPr>
          <w:rFonts w:hint="default" w:cs="Times New Roman"/>
          <w:sz w:val="20"/>
          <w:szCs w:val="15"/>
          <w:highlight w:val="none"/>
          <w:lang w:val="en-US" w:eastAsia="zh-CN"/>
        </w:rPr>
        <w:t>7-e</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 Chairman</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s note. </w:t>
      </w:r>
    </w:p>
    <w:p>
      <w:pPr>
        <w:pStyle w:val="126"/>
        <w:rPr>
          <w:lang w:eastAsia="zh-CN"/>
        </w:rPr>
      </w:pPr>
      <w:r>
        <w:rPr>
          <w:rFonts w:hint="default" w:ascii="Times New Roman" w:hAnsi="Times New Roman" w:cs="Times New Roman"/>
          <w:sz w:val="20"/>
          <w:szCs w:val="15"/>
          <w:highlight w:val="none"/>
          <w:lang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eastAsia="zh-CN"/>
        </w:rPr>
        <w:t>#</w:t>
      </w:r>
      <w:r>
        <w:rPr>
          <w:rFonts w:hint="eastAsia" w:ascii="Times New Roman" w:hAnsi="Times New Roman" w:cs="Times New Roman"/>
          <w:sz w:val="20"/>
          <w:szCs w:val="15"/>
          <w:highlight w:val="none"/>
          <w:lang w:val="en-US" w:eastAsia="zh-CN"/>
        </w:rPr>
        <w:t>10</w:t>
      </w:r>
      <w:r>
        <w:rPr>
          <w:rFonts w:hint="default" w:cs="Times New Roman"/>
          <w:sz w:val="20"/>
          <w:szCs w:val="15"/>
          <w:highlight w:val="none"/>
          <w:lang w:val="en-US" w:eastAsia="zh-CN"/>
        </w:rPr>
        <w:t>7</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 xml:space="preserve">e, </w:t>
      </w:r>
      <w:bookmarkEnd w:id="3"/>
      <w:r>
        <w:rPr>
          <w:rFonts w:hint="eastAsia" w:ascii="Times New Roman" w:hAnsi="Times New Roman" w:cs="Times New Roman"/>
          <w:sz w:val="20"/>
          <w:szCs w:val="15"/>
          <w:highlight w:val="none"/>
          <w:lang w:val="en-US" w:eastAsia="zh-CN"/>
        </w:rPr>
        <w:t>[10</w:t>
      </w:r>
      <w:r>
        <w:rPr>
          <w:rFonts w:hint="default" w:cs="Times New Roman"/>
          <w:sz w:val="20"/>
          <w:szCs w:val="15"/>
          <w:highlight w:val="none"/>
          <w:lang w:val="en-US" w:eastAsia="zh-CN"/>
        </w:rPr>
        <w:t>7</w:t>
      </w:r>
      <w:r>
        <w:rPr>
          <w:rFonts w:hint="eastAsia" w:ascii="Times New Roman" w:hAnsi="Times New Roman" w:cs="Times New Roman"/>
          <w:sz w:val="20"/>
          <w:szCs w:val="15"/>
          <w:highlight w:val="none"/>
          <w:lang w:val="en-US" w:eastAsia="zh-CN"/>
        </w:rPr>
        <w:t>-e-NR-R17-CovEnh-0</w:t>
      </w:r>
      <w:r>
        <w:rPr>
          <w:rFonts w:hint="eastAsia" w:cs="Times New Roman"/>
          <w:sz w:val="20"/>
          <w:szCs w:val="15"/>
          <w:highlight w:val="none"/>
          <w:lang w:val="en-US" w:eastAsia="zh-CN"/>
        </w:rPr>
        <w:t>3</w:t>
      </w:r>
      <w:r>
        <w:rPr>
          <w:rFonts w:hint="eastAsia" w:ascii="Times New Roman" w:hAnsi="Times New Roman" w:cs="Times New Roman"/>
          <w:sz w:val="20"/>
          <w:szCs w:val="15"/>
          <w:highlight w:val="none"/>
          <w:lang w:val="en-US" w:eastAsia="zh-CN"/>
        </w:rPr>
        <w:t>] Summary of email discussion on joint channel estimation for PUSCH.</w:t>
      </w:r>
      <w:r>
        <w:rPr>
          <w:rFonts w:hint="default" w:ascii="Times New Roman" w:hAnsi="Times New Roman" w:cs="Times New Roman"/>
          <w:sz w:val="20"/>
          <w:szCs w:val="15"/>
          <w:highlight w:val="none"/>
          <w:lang w:val="en-US" w:eastAsia="zh-CN"/>
        </w:rPr>
        <w:tab/>
      </w:r>
    </w:p>
    <w:p>
      <w:pPr>
        <w:pStyle w:val="126"/>
        <w:rPr>
          <w:lang w:eastAsia="zh-CN"/>
        </w:rPr>
      </w:pPr>
      <w:r>
        <w:rPr>
          <w:rFonts w:hint="default" w:ascii="Times New Roman" w:hAnsi="Times New Roman" w:cs="Times New Roman"/>
          <w:sz w:val="20"/>
          <w:szCs w:val="15"/>
          <w:highlight w:val="none"/>
          <w:lang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eastAsia="zh-CN"/>
        </w:rPr>
        <w:t>#</w:t>
      </w:r>
      <w:r>
        <w:rPr>
          <w:rFonts w:hint="eastAsia" w:ascii="Times New Roman" w:hAnsi="Times New Roman" w:cs="Times New Roman"/>
          <w:sz w:val="20"/>
          <w:szCs w:val="15"/>
          <w:highlight w:val="none"/>
          <w:lang w:val="en-US" w:eastAsia="zh-CN"/>
        </w:rPr>
        <w:t>10</w:t>
      </w:r>
      <w:r>
        <w:rPr>
          <w:rFonts w:hint="default" w:cs="Times New Roman"/>
          <w:sz w:val="20"/>
          <w:szCs w:val="15"/>
          <w:highlight w:val="none"/>
          <w:lang w:val="en-US" w:eastAsia="zh-CN"/>
        </w:rPr>
        <w:t>4-e</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 Chairman</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s note</w:t>
      </w:r>
      <w:r>
        <w:rPr>
          <w:rFonts w:hint="default" w:cs="Times New Roman"/>
          <w:sz w:val="20"/>
          <w:szCs w:val="15"/>
          <w:highlight w:val="none"/>
          <w:lang w:val="en-US" w:eastAsia="zh-CN"/>
        </w:rPr>
        <w:t>.</w:t>
      </w:r>
    </w:p>
    <w:p>
      <w:pPr>
        <w:pStyle w:val="126"/>
        <w:rPr>
          <w:lang w:eastAsia="zh-CN"/>
        </w:rPr>
      </w:pPr>
      <w:r>
        <w:rPr>
          <w:rFonts w:hint="default" w:ascii="Times New Roman" w:hAnsi="Times New Roman" w:cs="Times New Roman"/>
          <w:sz w:val="20"/>
          <w:szCs w:val="15"/>
          <w:highlight w:val="none"/>
          <w:lang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eastAsia="zh-CN"/>
        </w:rPr>
        <w:t>#</w:t>
      </w:r>
      <w:r>
        <w:rPr>
          <w:rFonts w:hint="eastAsia" w:ascii="Times New Roman" w:hAnsi="Times New Roman" w:cs="Times New Roman"/>
          <w:sz w:val="20"/>
          <w:szCs w:val="15"/>
          <w:highlight w:val="none"/>
          <w:lang w:val="en-US" w:eastAsia="zh-CN"/>
        </w:rPr>
        <w:t>10</w:t>
      </w:r>
      <w:r>
        <w:rPr>
          <w:rFonts w:hint="default" w:cs="Times New Roman"/>
          <w:sz w:val="20"/>
          <w:szCs w:val="15"/>
          <w:highlight w:val="none"/>
          <w:lang w:val="en-US" w:eastAsia="zh-CN"/>
        </w:rPr>
        <w:t>5-e</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 Chairman</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s note</w:t>
      </w:r>
      <w:r>
        <w:rPr>
          <w:rFonts w:hint="default" w:cs="Times New Roman"/>
          <w:sz w:val="20"/>
          <w:szCs w:val="15"/>
          <w:highlight w:val="none"/>
          <w:lang w:val="en-US" w:eastAsia="zh-CN"/>
        </w:rPr>
        <w:t>.</w:t>
      </w:r>
    </w:p>
    <w:p>
      <w:pPr>
        <w:rPr>
          <w:szCs w:val="22"/>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auto"/>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0D67560A"/>
    <w:multiLevelType w:val="multilevel"/>
    <w:tmpl w:val="0D67560A"/>
    <w:lvl w:ilvl="0" w:tentative="0">
      <w:start w:val="1"/>
      <w:numFmt w:val="decimalZero"/>
      <w:pStyle w:val="152"/>
      <w:lvlText w:val="[00%1]"/>
      <w:lvlJc w:val="left"/>
      <w:pPr>
        <w:tabs>
          <w:tab w:val="left" w:pos="1080"/>
        </w:tabs>
        <w:ind w:left="0" w:firstLine="0"/>
      </w:pPr>
      <w:rPr>
        <w:rFonts w:hint="default" w:ascii="Times New Roman" w:hAnsi="Times New Roman" w:cs="Times New Roman"/>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E051ACF"/>
    <w:multiLevelType w:val="multilevel"/>
    <w:tmpl w:val="0E051ACF"/>
    <w:lvl w:ilvl="0" w:tentative="0">
      <w:start w:val="1"/>
      <w:numFmt w:val="bullet"/>
      <w:lvlText w:val="•"/>
      <w:lvlJc w:val="left"/>
      <w:pPr>
        <w:ind w:left="720" w:hanging="360"/>
      </w:pPr>
      <w:rPr>
        <w:rFonts w:hint="default" w:ascii="Arial" w:hAnsi="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5F238AA"/>
    <w:multiLevelType w:val="multilevel"/>
    <w:tmpl w:val="35F238A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7">
    <w:nsid w:val="52182509"/>
    <w:multiLevelType w:val="multilevel"/>
    <w:tmpl w:val="5218250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7297BAF"/>
    <w:multiLevelType w:val="multilevel"/>
    <w:tmpl w:val="57297BA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595E46D1"/>
    <w:multiLevelType w:val="multilevel"/>
    <w:tmpl w:val="595E46D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A081E28"/>
    <w:multiLevelType w:val="multilevel"/>
    <w:tmpl w:val="5A081E28"/>
    <w:lvl w:ilvl="0" w:tentative="0">
      <w:start w:val="1"/>
      <w:numFmt w:val="bullet"/>
      <w:lvlText w:val=""/>
      <w:lvlJc w:val="left"/>
      <w:pPr>
        <w:ind w:left="60" w:hanging="420"/>
      </w:pPr>
      <w:rPr>
        <w:rFonts w:hint="default" w:ascii="Wingdings" w:hAnsi="Wingdings"/>
      </w:rPr>
    </w:lvl>
    <w:lvl w:ilvl="1" w:tentative="0">
      <w:start w:val="1"/>
      <w:numFmt w:val="bullet"/>
      <w:lvlText w:val="‐"/>
      <w:lvlJc w:val="left"/>
      <w:pPr>
        <w:ind w:left="480" w:hanging="420"/>
      </w:pPr>
      <w:rPr>
        <w:rFonts w:hint="eastAsia" w:ascii="宋体" w:hAnsi="宋体" w:eastAsia="宋体"/>
      </w:rPr>
    </w:lvl>
    <w:lvl w:ilvl="2" w:tentative="0">
      <w:start w:val="1"/>
      <w:numFmt w:val="bullet"/>
      <w:lvlText w:val=""/>
      <w:lvlJc w:val="left"/>
      <w:pPr>
        <w:ind w:left="900" w:hanging="420"/>
      </w:pPr>
      <w:rPr>
        <w:rFonts w:hint="default" w:ascii="Wingdings" w:hAnsi="Wingdings"/>
      </w:rPr>
    </w:lvl>
    <w:lvl w:ilvl="3" w:tentative="0">
      <w:start w:val="1"/>
      <w:numFmt w:val="bullet"/>
      <w:lvlText w:val=""/>
      <w:lvlJc w:val="left"/>
      <w:pPr>
        <w:ind w:left="1320" w:hanging="420"/>
      </w:pPr>
      <w:rPr>
        <w:rFonts w:hint="default" w:ascii="Wingdings" w:hAnsi="Wingdings"/>
      </w:rPr>
    </w:lvl>
    <w:lvl w:ilvl="4" w:tentative="0">
      <w:start w:val="1"/>
      <w:numFmt w:val="bullet"/>
      <w:lvlText w:val=""/>
      <w:lvlJc w:val="left"/>
      <w:pPr>
        <w:ind w:left="1740" w:hanging="420"/>
      </w:pPr>
      <w:rPr>
        <w:rFonts w:hint="default" w:ascii="Wingdings" w:hAnsi="Wingdings"/>
      </w:rPr>
    </w:lvl>
    <w:lvl w:ilvl="5" w:tentative="0">
      <w:start w:val="1"/>
      <w:numFmt w:val="bullet"/>
      <w:lvlText w:val=""/>
      <w:lvlJc w:val="left"/>
      <w:pPr>
        <w:ind w:left="2160" w:hanging="420"/>
      </w:pPr>
      <w:rPr>
        <w:rFonts w:hint="default" w:ascii="Wingdings" w:hAnsi="Wingdings"/>
      </w:rPr>
    </w:lvl>
    <w:lvl w:ilvl="6" w:tentative="0">
      <w:start w:val="1"/>
      <w:numFmt w:val="bullet"/>
      <w:lvlText w:val=""/>
      <w:lvlJc w:val="left"/>
      <w:pPr>
        <w:ind w:left="2580" w:hanging="420"/>
      </w:pPr>
      <w:rPr>
        <w:rFonts w:hint="default" w:ascii="Wingdings" w:hAnsi="Wingdings"/>
      </w:rPr>
    </w:lvl>
    <w:lvl w:ilvl="7" w:tentative="0">
      <w:start w:val="1"/>
      <w:numFmt w:val="bullet"/>
      <w:lvlText w:val=""/>
      <w:lvlJc w:val="left"/>
      <w:pPr>
        <w:ind w:left="3000" w:hanging="420"/>
      </w:pPr>
      <w:rPr>
        <w:rFonts w:hint="default" w:ascii="Wingdings" w:hAnsi="Wingdings"/>
      </w:rPr>
    </w:lvl>
    <w:lvl w:ilvl="8" w:tentative="0">
      <w:start w:val="1"/>
      <w:numFmt w:val="bullet"/>
      <w:lvlText w:val=""/>
      <w:lvlJc w:val="left"/>
      <w:pPr>
        <w:ind w:left="3420" w:hanging="420"/>
      </w:pPr>
      <w:rPr>
        <w:rFonts w:hint="default" w:ascii="Wingdings" w:hAnsi="Wingdings"/>
      </w:rPr>
    </w:lvl>
  </w:abstractNum>
  <w:abstractNum w:abstractNumId="11">
    <w:nsid w:val="61B41265"/>
    <w:multiLevelType w:val="multilevel"/>
    <w:tmpl w:val="61B412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4DC2712"/>
    <w:multiLevelType w:val="multilevel"/>
    <w:tmpl w:val="64DC2712"/>
    <w:lvl w:ilvl="0" w:tentative="0">
      <w:start w:val="1"/>
      <w:numFmt w:val="bullet"/>
      <w:lvlText w:val=""/>
      <w:lvlJc w:val="left"/>
      <w:pPr>
        <w:ind w:left="420" w:hanging="420"/>
      </w:pPr>
      <w:rPr>
        <w:rFonts w:hint="default" w:ascii="Wingdings" w:hAnsi="Wingdings"/>
      </w:rPr>
    </w:lvl>
    <w:lvl w:ilvl="1" w:tentative="0">
      <w:start w:val="5"/>
      <w:numFmt w:val="bullet"/>
      <w:lvlText w:val="-"/>
      <w:lvlJc w:val="left"/>
      <w:pPr>
        <w:ind w:left="840" w:hanging="420"/>
      </w:pPr>
      <w:rPr>
        <w:rFonts w:hint="default" w:ascii="Times New Roman" w:hAnsi="Times New Roman" w:eastAsia="宋体"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4"/>
  </w:num>
  <w:num w:numId="4">
    <w:abstractNumId w:val="6"/>
  </w:num>
  <w:num w:numId="5">
    <w:abstractNumId w:val="16"/>
  </w:num>
  <w:num w:numId="6">
    <w:abstractNumId w:val="12"/>
  </w:num>
  <w:num w:numId="7">
    <w:abstractNumId w:val="4"/>
  </w:num>
  <w:num w:numId="8">
    <w:abstractNumId w:val="15"/>
  </w:num>
  <w:num w:numId="9">
    <w:abstractNumId w:val="1"/>
  </w:num>
  <w:num w:numId="10">
    <w:abstractNumId w:val="7"/>
  </w:num>
  <w:num w:numId="11">
    <w:abstractNumId w:val="10"/>
  </w:num>
  <w:num w:numId="12">
    <w:abstractNumId w:val="8"/>
  </w:num>
  <w:num w:numId="13">
    <w:abstractNumId w:val="13"/>
  </w:num>
  <w:num w:numId="14">
    <w:abstractNumId w:val="9"/>
  </w:num>
  <w:num w:numId="15">
    <w:abstractNumId w:val="5"/>
  </w:num>
  <w:num w:numId="16">
    <w:abstractNumId w:val="1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60B"/>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445"/>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4E7"/>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B81"/>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B59"/>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A1D"/>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DE"/>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86"/>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261"/>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1DB"/>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74F"/>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675"/>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C90"/>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3E1E"/>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41CA2"/>
    <w:rsid w:val="010449C8"/>
    <w:rsid w:val="012227BC"/>
    <w:rsid w:val="012361AD"/>
    <w:rsid w:val="01273B60"/>
    <w:rsid w:val="012A1069"/>
    <w:rsid w:val="013E6BC5"/>
    <w:rsid w:val="013F7A03"/>
    <w:rsid w:val="01500DA0"/>
    <w:rsid w:val="015F62C1"/>
    <w:rsid w:val="016402CE"/>
    <w:rsid w:val="017E5024"/>
    <w:rsid w:val="0181657E"/>
    <w:rsid w:val="01987F1C"/>
    <w:rsid w:val="01A85479"/>
    <w:rsid w:val="01C37AF8"/>
    <w:rsid w:val="01C43939"/>
    <w:rsid w:val="01EB3A92"/>
    <w:rsid w:val="01EF7D5D"/>
    <w:rsid w:val="02132759"/>
    <w:rsid w:val="0222444D"/>
    <w:rsid w:val="023C2775"/>
    <w:rsid w:val="025A5203"/>
    <w:rsid w:val="02627A10"/>
    <w:rsid w:val="026A6ED2"/>
    <w:rsid w:val="02737E73"/>
    <w:rsid w:val="02811D65"/>
    <w:rsid w:val="0284643E"/>
    <w:rsid w:val="02996C22"/>
    <w:rsid w:val="02CB1826"/>
    <w:rsid w:val="02E51F96"/>
    <w:rsid w:val="03015D7F"/>
    <w:rsid w:val="03023110"/>
    <w:rsid w:val="03532C3F"/>
    <w:rsid w:val="035E745C"/>
    <w:rsid w:val="035F79EB"/>
    <w:rsid w:val="036A2B26"/>
    <w:rsid w:val="036D6407"/>
    <w:rsid w:val="03811BB6"/>
    <w:rsid w:val="03A05306"/>
    <w:rsid w:val="03B25C4C"/>
    <w:rsid w:val="03BD275E"/>
    <w:rsid w:val="03D12146"/>
    <w:rsid w:val="03D24EAD"/>
    <w:rsid w:val="03F44D28"/>
    <w:rsid w:val="03F94E83"/>
    <w:rsid w:val="03FC4856"/>
    <w:rsid w:val="040F5627"/>
    <w:rsid w:val="041416EB"/>
    <w:rsid w:val="041C778B"/>
    <w:rsid w:val="04345173"/>
    <w:rsid w:val="04516F47"/>
    <w:rsid w:val="045273D5"/>
    <w:rsid w:val="04577F93"/>
    <w:rsid w:val="04706353"/>
    <w:rsid w:val="047E59D0"/>
    <w:rsid w:val="048B7799"/>
    <w:rsid w:val="048F11FF"/>
    <w:rsid w:val="049359D5"/>
    <w:rsid w:val="04B72387"/>
    <w:rsid w:val="04C94658"/>
    <w:rsid w:val="04D37B5A"/>
    <w:rsid w:val="04D5788B"/>
    <w:rsid w:val="04E714D0"/>
    <w:rsid w:val="050D4324"/>
    <w:rsid w:val="052B0807"/>
    <w:rsid w:val="054D750F"/>
    <w:rsid w:val="05632A84"/>
    <w:rsid w:val="058C5A60"/>
    <w:rsid w:val="05B528D3"/>
    <w:rsid w:val="05D26CB3"/>
    <w:rsid w:val="05FD5D7B"/>
    <w:rsid w:val="06045E70"/>
    <w:rsid w:val="060A4922"/>
    <w:rsid w:val="061C0C55"/>
    <w:rsid w:val="06343079"/>
    <w:rsid w:val="06360315"/>
    <w:rsid w:val="063C1286"/>
    <w:rsid w:val="06677692"/>
    <w:rsid w:val="066D6105"/>
    <w:rsid w:val="066F4060"/>
    <w:rsid w:val="067D4C1C"/>
    <w:rsid w:val="06854C34"/>
    <w:rsid w:val="068F5699"/>
    <w:rsid w:val="069A1D58"/>
    <w:rsid w:val="06B127E5"/>
    <w:rsid w:val="06C51800"/>
    <w:rsid w:val="06D837B6"/>
    <w:rsid w:val="0705530E"/>
    <w:rsid w:val="07067712"/>
    <w:rsid w:val="070E2577"/>
    <w:rsid w:val="072043D8"/>
    <w:rsid w:val="072B6B98"/>
    <w:rsid w:val="072F2729"/>
    <w:rsid w:val="07633991"/>
    <w:rsid w:val="07722C34"/>
    <w:rsid w:val="077E7782"/>
    <w:rsid w:val="078903C0"/>
    <w:rsid w:val="078F6F15"/>
    <w:rsid w:val="07904048"/>
    <w:rsid w:val="0791746E"/>
    <w:rsid w:val="079A17B8"/>
    <w:rsid w:val="07A9580A"/>
    <w:rsid w:val="07B35775"/>
    <w:rsid w:val="07C21FA9"/>
    <w:rsid w:val="07D06D7A"/>
    <w:rsid w:val="07DD5AB3"/>
    <w:rsid w:val="08074010"/>
    <w:rsid w:val="0811778C"/>
    <w:rsid w:val="08157906"/>
    <w:rsid w:val="08166EC2"/>
    <w:rsid w:val="082222A5"/>
    <w:rsid w:val="082E2D58"/>
    <w:rsid w:val="08476CF8"/>
    <w:rsid w:val="08601212"/>
    <w:rsid w:val="086814F3"/>
    <w:rsid w:val="086D460E"/>
    <w:rsid w:val="087154E4"/>
    <w:rsid w:val="08763D35"/>
    <w:rsid w:val="08840298"/>
    <w:rsid w:val="08844589"/>
    <w:rsid w:val="08891F5A"/>
    <w:rsid w:val="088D57DF"/>
    <w:rsid w:val="08970876"/>
    <w:rsid w:val="08A871B9"/>
    <w:rsid w:val="08AD5890"/>
    <w:rsid w:val="09205847"/>
    <w:rsid w:val="092A0C39"/>
    <w:rsid w:val="0957797D"/>
    <w:rsid w:val="096B6A5A"/>
    <w:rsid w:val="096E57BA"/>
    <w:rsid w:val="0972706B"/>
    <w:rsid w:val="098243DD"/>
    <w:rsid w:val="09860267"/>
    <w:rsid w:val="098678CD"/>
    <w:rsid w:val="098C1905"/>
    <w:rsid w:val="098F2094"/>
    <w:rsid w:val="09954FE7"/>
    <w:rsid w:val="09A342F4"/>
    <w:rsid w:val="09AB11E8"/>
    <w:rsid w:val="09B24204"/>
    <w:rsid w:val="09C21BB6"/>
    <w:rsid w:val="09FE00AB"/>
    <w:rsid w:val="0A046E11"/>
    <w:rsid w:val="0A5D0E7E"/>
    <w:rsid w:val="0A8C6CD6"/>
    <w:rsid w:val="0ABE143B"/>
    <w:rsid w:val="0AFC60B7"/>
    <w:rsid w:val="0B3A69D7"/>
    <w:rsid w:val="0B3C1AF0"/>
    <w:rsid w:val="0B655242"/>
    <w:rsid w:val="0B693974"/>
    <w:rsid w:val="0B6C54FA"/>
    <w:rsid w:val="0B6F6E61"/>
    <w:rsid w:val="0B700A33"/>
    <w:rsid w:val="0B793FFF"/>
    <w:rsid w:val="0B820D65"/>
    <w:rsid w:val="0BA91CAD"/>
    <w:rsid w:val="0BAD56E4"/>
    <w:rsid w:val="0BAD7041"/>
    <w:rsid w:val="0C00413A"/>
    <w:rsid w:val="0C115D76"/>
    <w:rsid w:val="0C137799"/>
    <w:rsid w:val="0C1551CE"/>
    <w:rsid w:val="0C1B4F3E"/>
    <w:rsid w:val="0C4A6C6B"/>
    <w:rsid w:val="0C56233F"/>
    <w:rsid w:val="0C595AA6"/>
    <w:rsid w:val="0C654E67"/>
    <w:rsid w:val="0C6F5654"/>
    <w:rsid w:val="0CB77457"/>
    <w:rsid w:val="0CD571A0"/>
    <w:rsid w:val="0CDE5204"/>
    <w:rsid w:val="0CE24B83"/>
    <w:rsid w:val="0CE37C3D"/>
    <w:rsid w:val="0CE50ED4"/>
    <w:rsid w:val="0CF21C76"/>
    <w:rsid w:val="0D132BA9"/>
    <w:rsid w:val="0D660AC2"/>
    <w:rsid w:val="0D672BF6"/>
    <w:rsid w:val="0D820220"/>
    <w:rsid w:val="0DA01B8B"/>
    <w:rsid w:val="0DB70DAE"/>
    <w:rsid w:val="0DBB3A84"/>
    <w:rsid w:val="0DC10615"/>
    <w:rsid w:val="0DCE068D"/>
    <w:rsid w:val="0DD072F7"/>
    <w:rsid w:val="0DDC43A1"/>
    <w:rsid w:val="0DEE73BC"/>
    <w:rsid w:val="0E120AD5"/>
    <w:rsid w:val="0E2D1625"/>
    <w:rsid w:val="0E3754E8"/>
    <w:rsid w:val="0E5745A0"/>
    <w:rsid w:val="0E640CA7"/>
    <w:rsid w:val="0E861004"/>
    <w:rsid w:val="0E8829D1"/>
    <w:rsid w:val="0E933444"/>
    <w:rsid w:val="0E9A4B90"/>
    <w:rsid w:val="0EA33BDF"/>
    <w:rsid w:val="0EB06FFE"/>
    <w:rsid w:val="0ECC510B"/>
    <w:rsid w:val="0EDE7F8B"/>
    <w:rsid w:val="0EEC1999"/>
    <w:rsid w:val="0EEE3958"/>
    <w:rsid w:val="0EF57D78"/>
    <w:rsid w:val="0F0A50A1"/>
    <w:rsid w:val="0F14151F"/>
    <w:rsid w:val="0F1D01AC"/>
    <w:rsid w:val="0F26446A"/>
    <w:rsid w:val="0F2A272E"/>
    <w:rsid w:val="0F50677D"/>
    <w:rsid w:val="0F507D71"/>
    <w:rsid w:val="0F6E250F"/>
    <w:rsid w:val="0F973CB6"/>
    <w:rsid w:val="0F9C16C6"/>
    <w:rsid w:val="0FB56F6D"/>
    <w:rsid w:val="0FC166A9"/>
    <w:rsid w:val="0FF24EE7"/>
    <w:rsid w:val="0FFB1095"/>
    <w:rsid w:val="10150A41"/>
    <w:rsid w:val="101828E5"/>
    <w:rsid w:val="101B366C"/>
    <w:rsid w:val="102D15F4"/>
    <w:rsid w:val="103D4821"/>
    <w:rsid w:val="1042638F"/>
    <w:rsid w:val="1051081F"/>
    <w:rsid w:val="10587DFC"/>
    <w:rsid w:val="10A655E0"/>
    <w:rsid w:val="10B9032D"/>
    <w:rsid w:val="10BE60B3"/>
    <w:rsid w:val="10D80AE3"/>
    <w:rsid w:val="11087971"/>
    <w:rsid w:val="111C11B7"/>
    <w:rsid w:val="112055D4"/>
    <w:rsid w:val="11373F4A"/>
    <w:rsid w:val="11560B91"/>
    <w:rsid w:val="11653C6F"/>
    <w:rsid w:val="117E25DB"/>
    <w:rsid w:val="11851E9F"/>
    <w:rsid w:val="11872682"/>
    <w:rsid w:val="119F71CC"/>
    <w:rsid w:val="11B51939"/>
    <w:rsid w:val="11F57174"/>
    <w:rsid w:val="123E7785"/>
    <w:rsid w:val="1257267A"/>
    <w:rsid w:val="126307F9"/>
    <w:rsid w:val="12641DA6"/>
    <w:rsid w:val="12694FD6"/>
    <w:rsid w:val="126E6143"/>
    <w:rsid w:val="12862DD1"/>
    <w:rsid w:val="12A472D8"/>
    <w:rsid w:val="12B47087"/>
    <w:rsid w:val="12CF122D"/>
    <w:rsid w:val="12D24052"/>
    <w:rsid w:val="12DE4561"/>
    <w:rsid w:val="12E541BB"/>
    <w:rsid w:val="12EF42E9"/>
    <w:rsid w:val="12F04DFC"/>
    <w:rsid w:val="12FE321B"/>
    <w:rsid w:val="130859B8"/>
    <w:rsid w:val="13122E26"/>
    <w:rsid w:val="13190935"/>
    <w:rsid w:val="134947C3"/>
    <w:rsid w:val="135349F3"/>
    <w:rsid w:val="135911B7"/>
    <w:rsid w:val="1380021A"/>
    <w:rsid w:val="138A0BAD"/>
    <w:rsid w:val="13A21BC8"/>
    <w:rsid w:val="13A22CE4"/>
    <w:rsid w:val="13AE124E"/>
    <w:rsid w:val="13B80F55"/>
    <w:rsid w:val="13C224D7"/>
    <w:rsid w:val="13DD66A2"/>
    <w:rsid w:val="13F9086E"/>
    <w:rsid w:val="14054947"/>
    <w:rsid w:val="14130F08"/>
    <w:rsid w:val="141E5C0D"/>
    <w:rsid w:val="141F2191"/>
    <w:rsid w:val="14251812"/>
    <w:rsid w:val="142D04D8"/>
    <w:rsid w:val="14380455"/>
    <w:rsid w:val="143C29C7"/>
    <w:rsid w:val="14497411"/>
    <w:rsid w:val="14686D4D"/>
    <w:rsid w:val="146F482D"/>
    <w:rsid w:val="14970691"/>
    <w:rsid w:val="14A47EC8"/>
    <w:rsid w:val="14B665CE"/>
    <w:rsid w:val="14CA46D3"/>
    <w:rsid w:val="14FB4492"/>
    <w:rsid w:val="15043BF5"/>
    <w:rsid w:val="15050319"/>
    <w:rsid w:val="151A0845"/>
    <w:rsid w:val="15377B54"/>
    <w:rsid w:val="15490C35"/>
    <w:rsid w:val="154C13BE"/>
    <w:rsid w:val="15517225"/>
    <w:rsid w:val="1568648A"/>
    <w:rsid w:val="1575AEB2"/>
    <w:rsid w:val="1579497C"/>
    <w:rsid w:val="15824EE1"/>
    <w:rsid w:val="15A66E83"/>
    <w:rsid w:val="15A70CF2"/>
    <w:rsid w:val="15CC20E6"/>
    <w:rsid w:val="15CE61CC"/>
    <w:rsid w:val="15DC48D2"/>
    <w:rsid w:val="15EE136C"/>
    <w:rsid w:val="15F1247C"/>
    <w:rsid w:val="1609639B"/>
    <w:rsid w:val="162915A0"/>
    <w:rsid w:val="162C0344"/>
    <w:rsid w:val="162E3333"/>
    <w:rsid w:val="164F7F6D"/>
    <w:rsid w:val="165273DB"/>
    <w:rsid w:val="165C3E4C"/>
    <w:rsid w:val="165D61C4"/>
    <w:rsid w:val="165E068A"/>
    <w:rsid w:val="16932881"/>
    <w:rsid w:val="16A10349"/>
    <w:rsid w:val="16DB48B1"/>
    <w:rsid w:val="16E92C66"/>
    <w:rsid w:val="16F003E9"/>
    <w:rsid w:val="16F047F2"/>
    <w:rsid w:val="1702D3F2"/>
    <w:rsid w:val="17142659"/>
    <w:rsid w:val="17214315"/>
    <w:rsid w:val="17957399"/>
    <w:rsid w:val="17AD5D9B"/>
    <w:rsid w:val="17E809F8"/>
    <w:rsid w:val="17F80798"/>
    <w:rsid w:val="17FA0254"/>
    <w:rsid w:val="180B054C"/>
    <w:rsid w:val="180E026C"/>
    <w:rsid w:val="181A549B"/>
    <w:rsid w:val="181B0B92"/>
    <w:rsid w:val="182F35F1"/>
    <w:rsid w:val="18556A1C"/>
    <w:rsid w:val="18774C63"/>
    <w:rsid w:val="188D2058"/>
    <w:rsid w:val="18A50FDB"/>
    <w:rsid w:val="18A516EB"/>
    <w:rsid w:val="18A6016D"/>
    <w:rsid w:val="18B266E2"/>
    <w:rsid w:val="18B65538"/>
    <w:rsid w:val="18BA7603"/>
    <w:rsid w:val="18DD3B7F"/>
    <w:rsid w:val="18FD3F86"/>
    <w:rsid w:val="190769D0"/>
    <w:rsid w:val="192000D8"/>
    <w:rsid w:val="192A6225"/>
    <w:rsid w:val="192B740B"/>
    <w:rsid w:val="19481FB4"/>
    <w:rsid w:val="19502875"/>
    <w:rsid w:val="19654572"/>
    <w:rsid w:val="19C25978"/>
    <w:rsid w:val="19CD0270"/>
    <w:rsid w:val="19CF5864"/>
    <w:rsid w:val="19E0017B"/>
    <w:rsid w:val="19FA6F86"/>
    <w:rsid w:val="1A031C05"/>
    <w:rsid w:val="1A1C5725"/>
    <w:rsid w:val="1A294F64"/>
    <w:rsid w:val="1A2F55A6"/>
    <w:rsid w:val="1A514204"/>
    <w:rsid w:val="1A694A95"/>
    <w:rsid w:val="1A6B3E3A"/>
    <w:rsid w:val="1AB87FE6"/>
    <w:rsid w:val="1ADE62D6"/>
    <w:rsid w:val="1B0E5AE1"/>
    <w:rsid w:val="1B2146E0"/>
    <w:rsid w:val="1B2E6DC7"/>
    <w:rsid w:val="1B4E3AF0"/>
    <w:rsid w:val="1B5316CE"/>
    <w:rsid w:val="1B5E59D2"/>
    <w:rsid w:val="1B7022F5"/>
    <w:rsid w:val="1B78317D"/>
    <w:rsid w:val="1B9F7ADA"/>
    <w:rsid w:val="1BB54F75"/>
    <w:rsid w:val="1BB93628"/>
    <w:rsid w:val="1BCB1DA4"/>
    <w:rsid w:val="1BCB22F0"/>
    <w:rsid w:val="1BDC2607"/>
    <w:rsid w:val="1BDC2DFC"/>
    <w:rsid w:val="1BFE480A"/>
    <w:rsid w:val="1C2168C5"/>
    <w:rsid w:val="1C3A713A"/>
    <w:rsid w:val="1C520FD9"/>
    <w:rsid w:val="1C766428"/>
    <w:rsid w:val="1C8C1338"/>
    <w:rsid w:val="1C921230"/>
    <w:rsid w:val="1CAA06DA"/>
    <w:rsid w:val="1CB626A2"/>
    <w:rsid w:val="1CC02EEB"/>
    <w:rsid w:val="1CC24BC0"/>
    <w:rsid w:val="1CF25833"/>
    <w:rsid w:val="1D186B8E"/>
    <w:rsid w:val="1D1C6668"/>
    <w:rsid w:val="1D2355A7"/>
    <w:rsid w:val="1D465FAC"/>
    <w:rsid w:val="1D5A7EED"/>
    <w:rsid w:val="1D5C71FF"/>
    <w:rsid w:val="1D797881"/>
    <w:rsid w:val="1D80587E"/>
    <w:rsid w:val="1D833CB2"/>
    <w:rsid w:val="1D915167"/>
    <w:rsid w:val="1DD50930"/>
    <w:rsid w:val="1DE7561E"/>
    <w:rsid w:val="1DEC3E76"/>
    <w:rsid w:val="1DF407BB"/>
    <w:rsid w:val="1E081A8B"/>
    <w:rsid w:val="1E0C4688"/>
    <w:rsid w:val="1E1A5C57"/>
    <w:rsid w:val="1E27481A"/>
    <w:rsid w:val="1E38003B"/>
    <w:rsid w:val="1E557ED0"/>
    <w:rsid w:val="1E5A12CB"/>
    <w:rsid w:val="1E6B3990"/>
    <w:rsid w:val="1E6E41CC"/>
    <w:rsid w:val="1E9F2838"/>
    <w:rsid w:val="1E9F6EAC"/>
    <w:rsid w:val="1EA12998"/>
    <w:rsid w:val="1EA41854"/>
    <w:rsid w:val="1EB815C1"/>
    <w:rsid w:val="1EBA39CE"/>
    <w:rsid w:val="1EDA7E75"/>
    <w:rsid w:val="1EDB5118"/>
    <w:rsid w:val="1EE10D08"/>
    <w:rsid w:val="1F391D93"/>
    <w:rsid w:val="1F4B65CE"/>
    <w:rsid w:val="1F6811F5"/>
    <w:rsid w:val="1F850095"/>
    <w:rsid w:val="1F937D81"/>
    <w:rsid w:val="1FB91CD0"/>
    <w:rsid w:val="1FCE0CEA"/>
    <w:rsid w:val="1FE41590"/>
    <w:rsid w:val="1FE437B8"/>
    <w:rsid w:val="1FEB5923"/>
    <w:rsid w:val="2013006C"/>
    <w:rsid w:val="20155923"/>
    <w:rsid w:val="201F621B"/>
    <w:rsid w:val="20275F86"/>
    <w:rsid w:val="20321F1E"/>
    <w:rsid w:val="20371EBA"/>
    <w:rsid w:val="20444561"/>
    <w:rsid w:val="204559CC"/>
    <w:rsid w:val="2050713D"/>
    <w:rsid w:val="2051019B"/>
    <w:rsid w:val="2059267B"/>
    <w:rsid w:val="206262A6"/>
    <w:rsid w:val="206F6EF8"/>
    <w:rsid w:val="20722218"/>
    <w:rsid w:val="208150A1"/>
    <w:rsid w:val="20872225"/>
    <w:rsid w:val="20910CB1"/>
    <w:rsid w:val="20AA069B"/>
    <w:rsid w:val="20BA2550"/>
    <w:rsid w:val="20BF5E4D"/>
    <w:rsid w:val="20CC11AA"/>
    <w:rsid w:val="20CD42FE"/>
    <w:rsid w:val="20E65374"/>
    <w:rsid w:val="21035A99"/>
    <w:rsid w:val="21076873"/>
    <w:rsid w:val="21282288"/>
    <w:rsid w:val="21472258"/>
    <w:rsid w:val="217365AB"/>
    <w:rsid w:val="218F7AC9"/>
    <w:rsid w:val="21AA0A4A"/>
    <w:rsid w:val="21B15D7D"/>
    <w:rsid w:val="21C35889"/>
    <w:rsid w:val="21D210F5"/>
    <w:rsid w:val="21EC38D8"/>
    <w:rsid w:val="22161566"/>
    <w:rsid w:val="222143B0"/>
    <w:rsid w:val="222575BE"/>
    <w:rsid w:val="2241276D"/>
    <w:rsid w:val="22653C75"/>
    <w:rsid w:val="227C2684"/>
    <w:rsid w:val="227C2816"/>
    <w:rsid w:val="229F4260"/>
    <w:rsid w:val="22C22FF5"/>
    <w:rsid w:val="22CF4013"/>
    <w:rsid w:val="22F03980"/>
    <w:rsid w:val="22FE2795"/>
    <w:rsid w:val="2302281C"/>
    <w:rsid w:val="231E4B98"/>
    <w:rsid w:val="23237381"/>
    <w:rsid w:val="232B0C4F"/>
    <w:rsid w:val="232D30A1"/>
    <w:rsid w:val="23412453"/>
    <w:rsid w:val="23680C07"/>
    <w:rsid w:val="236959BD"/>
    <w:rsid w:val="237C7CBF"/>
    <w:rsid w:val="23810D15"/>
    <w:rsid w:val="238B15F3"/>
    <w:rsid w:val="239B1F41"/>
    <w:rsid w:val="239E142D"/>
    <w:rsid w:val="23BD1EF4"/>
    <w:rsid w:val="23C657B0"/>
    <w:rsid w:val="23D61A36"/>
    <w:rsid w:val="244B7353"/>
    <w:rsid w:val="2456586B"/>
    <w:rsid w:val="245870DE"/>
    <w:rsid w:val="247247A7"/>
    <w:rsid w:val="2473146A"/>
    <w:rsid w:val="247B14A1"/>
    <w:rsid w:val="2489276D"/>
    <w:rsid w:val="248C2676"/>
    <w:rsid w:val="24970A67"/>
    <w:rsid w:val="24990B16"/>
    <w:rsid w:val="24BB7519"/>
    <w:rsid w:val="24D0128B"/>
    <w:rsid w:val="24D21AA8"/>
    <w:rsid w:val="24D4279B"/>
    <w:rsid w:val="250E5B71"/>
    <w:rsid w:val="25133D8A"/>
    <w:rsid w:val="2529504F"/>
    <w:rsid w:val="253E4E9E"/>
    <w:rsid w:val="25431665"/>
    <w:rsid w:val="2560279C"/>
    <w:rsid w:val="257A7D01"/>
    <w:rsid w:val="25A0147F"/>
    <w:rsid w:val="261260B0"/>
    <w:rsid w:val="26152CC2"/>
    <w:rsid w:val="26166BCB"/>
    <w:rsid w:val="261B156F"/>
    <w:rsid w:val="26230FC6"/>
    <w:rsid w:val="26276462"/>
    <w:rsid w:val="262A7AAC"/>
    <w:rsid w:val="264139CC"/>
    <w:rsid w:val="26461698"/>
    <w:rsid w:val="264D17ED"/>
    <w:rsid w:val="26500B8C"/>
    <w:rsid w:val="266D1D9D"/>
    <w:rsid w:val="267C010D"/>
    <w:rsid w:val="26A53593"/>
    <w:rsid w:val="26AF1303"/>
    <w:rsid w:val="26AF7438"/>
    <w:rsid w:val="26EC778D"/>
    <w:rsid w:val="26EE7123"/>
    <w:rsid w:val="26F15181"/>
    <w:rsid w:val="26F60EF2"/>
    <w:rsid w:val="26F7790C"/>
    <w:rsid w:val="27042769"/>
    <w:rsid w:val="27075D9B"/>
    <w:rsid w:val="27085E71"/>
    <w:rsid w:val="271411D6"/>
    <w:rsid w:val="272C1CCE"/>
    <w:rsid w:val="27323917"/>
    <w:rsid w:val="27342BB0"/>
    <w:rsid w:val="274D75F4"/>
    <w:rsid w:val="276E332F"/>
    <w:rsid w:val="27847B8F"/>
    <w:rsid w:val="27864A32"/>
    <w:rsid w:val="27A50B6A"/>
    <w:rsid w:val="27C33078"/>
    <w:rsid w:val="27C5366D"/>
    <w:rsid w:val="27CE3285"/>
    <w:rsid w:val="27D335D7"/>
    <w:rsid w:val="27DD67CA"/>
    <w:rsid w:val="27E73C43"/>
    <w:rsid w:val="27E90817"/>
    <w:rsid w:val="27EF2DBE"/>
    <w:rsid w:val="283B568A"/>
    <w:rsid w:val="28621255"/>
    <w:rsid w:val="28690808"/>
    <w:rsid w:val="28A31317"/>
    <w:rsid w:val="28A81FAC"/>
    <w:rsid w:val="28B07E55"/>
    <w:rsid w:val="28B54AA2"/>
    <w:rsid w:val="28BC1634"/>
    <w:rsid w:val="28C77C30"/>
    <w:rsid w:val="28CC2FA1"/>
    <w:rsid w:val="28D557F6"/>
    <w:rsid w:val="28ED2D72"/>
    <w:rsid w:val="28F43DB6"/>
    <w:rsid w:val="290D04CF"/>
    <w:rsid w:val="291B6B03"/>
    <w:rsid w:val="291F43AD"/>
    <w:rsid w:val="29205EA8"/>
    <w:rsid w:val="294D7F95"/>
    <w:rsid w:val="295A76BB"/>
    <w:rsid w:val="295B3766"/>
    <w:rsid w:val="295E42D9"/>
    <w:rsid w:val="29606847"/>
    <w:rsid w:val="297D2BB6"/>
    <w:rsid w:val="297F342E"/>
    <w:rsid w:val="29801BE5"/>
    <w:rsid w:val="29AD65C9"/>
    <w:rsid w:val="2A0E7B44"/>
    <w:rsid w:val="2A0F0B23"/>
    <w:rsid w:val="2A0F0C79"/>
    <w:rsid w:val="2A22468F"/>
    <w:rsid w:val="2A257324"/>
    <w:rsid w:val="2A2F123E"/>
    <w:rsid w:val="2A3B5149"/>
    <w:rsid w:val="2A5E49BB"/>
    <w:rsid w:val="2A713BD5"/>
    <w:rsid w:val="2A71440E"/>
    <w:rsid w:val="2A893D90"/>
    <w:rsid w:val="2A8D3388"/>
    <w:rsid w:val="2A932738"/>
    <w:rsid w:val="2A9A305C"/>
    <w:rsid w:val="2A9D552B"/>
    <w:rsid w:val="2AAD00EF"/>
    <w:rsid w:val="2AB61FE9"/>
    <w:rsid w:val="2AC471E3"/>
    <w:rsid w:val="2ACB1712"/>
    <w:rsid w:val="2AF443C4"/>
    <w:rsid w:val="2AFE2B7E"/>
    <w:rsid w:val="2B1A73FE"/>
    <w:rsid w:val="2B26248E"/>
    <w:rsid w:val="2B273813"/>
    <w:rsid w:val="2B2A5602"/>
    <w:rsid w:val="2B3F1C6E"/>
    <w:rsid w:val="2B527EC9"/>
    <w:rsid w:val="2B6B1F23"/>
    <w:rsid w:val="2B7F2D66"/>
    <w:rsid w:val="2B8B5508"/>
    <w:rsid w:val="2B9D5A0C"/>
    <w:rsid w:val="2BB0714A"/>
    <w:rsid w:val="2BB25377"/>
    <w:rsid w:val="2BDE1872"/>
    <w:rsid w:val="2BDF29BF"/>
    <w:rsid w:val="2BE142ED"/>
    <w:rsid w:val="2C014CD1"/>
    <w:rsid w:val="2C15440D"/>
    <w:rsid w:val="2C174347"/>
    <w:rsid w:val="2C2D69FF"/>
    <w:rsid w:val="2C424B4D"/>
    <w:rsid w:val="2C8070D2"/>
    <w:rsid w:val="2C9C023F"/>
    <w:rsid w:val="2CB23183"/>
    <w:rsid w:val="2CC8533D"/>
    <w:rsid w:val="2CD32952"/>
    <w:rsid w:val="2CF04E98"/>
    <w:rsid w:val="2CFD70CC"/>
    <w:rsid w:val="2D0E0A00"/>
    <w:rsid w:val="2D376513"/>
    <w:rsid w:val="2D3F2C8E"/>
    <w:rsid w:val="2D412A8E"/>
    <w:rsid w:val="2D470923"/>
    <w:rsid w:val="2D481943"/>
    <w:rsid w:val="2D4D0E21"/>
    <w:rsid w:val="2D694FE4"/>
    <w:rsid w:val="2D8A6FF6"/>
    <w:rsid w:val="2DC863F1"/>
    <w:rsid w:val="2DD75F85"/>
    <w:rsid w:val="2DE65CA0"/>
    <w:rsid w:val="2DF02E1F"/>
    <w:rsid w:val="2DF45B47"/>
    <w:rsid w:val="2DF53171"/>
    <w:rsid w:val="2DFB41DC"/>
    <w:rsid w:val="2E350033"/>
    <w:rsid w:val="2E4827D9"/>
    <w:rsid w:val="2E535CFE"/>
    <w:rsid w:val="2E597C2E"/>
    <w:rsid w:val="2E5F4D48"/>
    <w:rsid w:val="2E6D6806"/>
    <w:rsid w:val="2E7F1DC7"/>
    <w:rsid w:val="2E875B0E"/>
    <w:rsid w:val="2E930D3B"/>
    <w:rsid w:val="2EAA0DB3"/>
    <w:rsid w:val="2EB72406"/>
    <w:rsid w:val="2ECA7E8A"/>
    <w:rsid w:val="2ED43FC4"/>
    <w:rsid w:val="2EE82E21"/>
    <w:rsid w:val="2EED37AA"/>
    <w:rsid w:val="2EF44749"/>
    <w:rsid w:val="2EFB627E"/>
    <w:rsid w:val="2F2367DE"/>
    <w:rsid w:val="2F2F7CA2"/>
    <w:rsid w:val="2F9D43DA"/>
    <w:rsid w:val="2FB33C59"/>
    <w:rsid w:val="2FCB48BF"/>
    <w:rsid w:val="2FD27D5B"/>
    <w:rsid w:val="2FD74E2E"/>
    <w:rsid w:val="2FDF41BB"/>
    <w:rsid w:val="2FF0042F"/>
    <w:rsid w:val="2FF77AA0"/>
    <w:rsid w:val="2FF91044"/>
    <w:rsid w:val="302901BE"/>
    <w:rsid w:val="30480E94"/>
    <w:rsid w:val="30497C87"/>
    <w:rsid w:val="304B7C60"/>
    <w:rsid w:val="305206A1"/>
    <w:rsid w:val="30540837"/>
    <w:rsid w:val="3055096E"/>
    <w:rsid w:val="306A4FC0"/>
    <w:rsid w:val="308D7E44"/>
    <w:rsid w:val="30E55D82"/>
    <w:rsid w:val="30EC5CC6"/>
    <w:rsid w:val="30FB19DC"/>
    <w:rsid w:val="3107240D"/>
    <w:rsid w:val="31195FCB"/>
    <w:rsid w:val="311A54A6"/>
    <w:rsid w:val="314A3681"/>
    <w:rsid w:val="31542D3B"/>
    <w:rsid w:val="315E3DF0"/>
    <w:rsid w:val="3166748C"/>
    <w:rsid w:val="31862AA3"/>
    <w:rsid w:val="31900E67"/>
    <w:rsid w:val="31BB1A94"/>
    <w:rsid w:val="31D56643"/>
    <w:rsid w:val="322E1B7A"/>
    <w:rsid w:val="32303C08"/>
    <w:rsid w:val="3244753C"/>
    <w:rsid w:val="324568C8"/>
    <w:rsid w:val="324F2751"/>
    <w:rsid w:val="32562A70"/>
    <w:rsid w:val="325F048D"/>
    <w:rsid w:val="32832752"/>
    <w:rsid w:val="329C47CD"/>
    <w:rsid w:val="32C70A47"/>
    <w:rsid w:val="32FE23BF"/>
    <w:rsid w:val="330E6893"/>
    <w:rsid w:val="331A34E4"/>
    <w:rsid w:val="332256D4"/>
    <w:rsid w:val="33304911"/>
    <w:rsid w:val="334074D0"/>
    <w:rsid w:val="33DE0CB9"/>
    <w:rsid w:val="33EC1A91"/>
    <w:rsid w:val="33F64C7F"/>
    <w:rsid w:val="33FB7AC8"/>
    <w:rsid w:val="342239DC"/>
    <w:rsid w:val="344277BC"/>
    <w:rsid w:val="344F7A97"/>
    <w:rsid w:val="34586101"/>
    <w:rsid w:val="346620C8"/>
    <w:rsid w:val="34680CAF"/>
    <w:rsid w:val="347744AE"/>
    <w:rsid w:val="347852A8"/>
    <w:rsid w:val="34A45723"/>
    <w:rsid w:val="34A4797F"/>
    <w:rsid w:val="34AB7E73"/>
    <w:rsid w:val="34CC2CE0"/>
    <w:rsid w:val="34CF0216"/>
    <w:rsid w:val="34D93029"/>
    <w:rsid w:val="3511129D"/>
    <w:rsid w:val="351D0C22"/>
    <w:rsid w:val="35354E03"/>
    <w:rsid w:val="354328ED"/>
    <w:rsid w:val="355413B8"/>
    <w:rsid w:val="356A1C6B"/>
    <w:rsid w:val="35742CCA"/>
    <w:rsid w:val="357B7B2E"/>
    <w:rsid w:val="35911F22"/>
    <w:rsid w:val="359455FE"/>
    <w:rsid w:val="35993F20"/>
    <w:rsid w:val="35B00442"/>
    <w:rsid w:val="35E37771"/>
    <w:rsid w:val="35E96D19"/>
    <w:rsid w:val="35EF263E"/>
    <w:rsid w:val="35FA0617"/>
    <w:rsid w:val="36091FD3"/>
    <w:rsid w:val="36253665"/>
    <w:rsid w:val="36714B62"/>
    <w:rsid w:val="369176E7"/>
    <w:rsid w:val="3694127A"/>
    <w:rsid w:val="369C7B31"/>
    <w:rsid w:val="369E1484"/>
    <w:rsid w:val="36B43102"/>
    <w:rsid w:val="36CD07B0"/>
    <w:rsid w:val="36EE4354"/>
    <w:rsid w:val="371724AD"/>
    <w:rsid w:val="372201DB"/>
    <w:rsid w:val="37282390"/>
    <w:rsid w:val="373242C4"/>
    <w:rsid w:val="37340EF6"/>
    <w:rsid w:val="373E20CB"/>
    <w:rsid w:val="374B60EF"/>
    <w:rsid w:val="374C5B70"/>
    <w:rsid w:val="37514821"/>
    <w:rsid w:val="375C57D7"/>
    <w:rsid w:val="37987F08"/>
    <w:rsid w:val="379C388B"/>
    <w:rsid w:val="37A575E2"/>
    <w:rsid w:val="37AE2A15"/>
    <w:rsid w:val="37B173DB"/>
    <w:rsid w:val="37CB3A11"/>
    <w:rsid w:val="37DD651E"/>
    <w:rsid w:val="37EB4DE1"/>
    <w:rsid w:val="37FA6F08"/>
    <w:rsid w:val="3815223D"/>
    <w:rsid w:val="381A51F4"/>
    <w:rsid w:val="3823131E"/>
    <w:rsid w:val="38351EFB"/>
    <w:rsid w:val="383B0423"/>
    <w:rsid w:val="38452EC8"/>
    <w:rsid w:val="384D4EAB"/>
    <w:rsid w:val="386276E6"/>
    <w:rsid w:val="386C5C36"/>
    <w:rsid w:val="387B67FC"/>
    <w:rsid w:val="388A060E"/>
    <w:rsid w:val="3895149A"/>
    <w:rsid w:val="389A4183"/>
    <w:rsid w:val="38BA113F"/>
    <w:rsid w:val="38F53BAE"/>
    <w:rsid w:val="390F3B85"/>
    <w:rsid w:val="39191517"/>
    <w:rsid w:val="391B4947"/>
    <w:rsid w:val="39205BF2"/>
    <w:rsid w:val="392806A3"/>
    <w:rsid w:val="39362F4F"/>
    <w:rsid w:val="393855B5"/>
    <w:rsid w:val="39447902"/>
    <w:rsid w:val="39707B04"/>
    <w:rsid w:val="397347DF"/>
    <w:rsid w:val="397F1536"/>
    <w:rsid w:val="39AD6E99"/>
    <w:rsid w:val="39B500BF"/>
    <w:rsid w:val="39BB105A"/>
    <w:rsid w:val="39CC25A4"/>
    <w:rsid w:val="39D550CB"/>
    <w:rsid w:val="39E064BB"/>
    <w:rsid w:val="39E3386F"/>
    <w:rsid w:val="39E7205F"/>
    <w:rsid w:val="39ED0B9E"/>
    <w:rsid w:val="39F90804"/>
    <w:rsid w:val="3A135075"/>
    <w:rsid w:val="3A474C0E"/>
    <w:rsid w:val="3A4E4F88"/>
    <w:rsid w:val="3A54276D"/>
    <w:rsid w:val="3A67157A"/>
    <w:rsid w:val="3A8424B5"/>
    <w:rsid w:val="3A857D28"/>
    <w:rsid w:val="3A8B1413"/>
    <w:rsid w:val="3A946A15"/>
    <w:rsid w:val="3A9A43F1"/>
    <w:rsid w:val="3AA12DFF"/>
    <w:rsid w:val="3AAA7C42"/>
    <w:rsid w:val="3AB31D0C"/>
    <w:rsid w:val="3AC0587C"/>
    <w:rsid w:val="3AC37BE4"/>
    <w:rsid w:val="3AD31FDD"/>
    <w:rsid w:val="3AE547DC"/>
    <w:rsid w:val="3B0E5515"/>
    <w:rsid w:val="3B3418DA"/>
    <w:rsid w:val="3B380971"/>
    <w:rsid w:val="3B3E48C1"/>
    <w:rsid w:val="3B4A3B53"/>
    <w:rsid w:val="3B5F040A"/>
    <w:rsid w:val="3B6B0749"/>
    <w:rsid w:val="3B722323"/>
    <w:rsid w:val="3B9A1F43"/>
    <w:rsid w:val="3BAF459B"/>
    <w:rsid w:val="3BC27D88"/>
    <w:rsid w:val="3BC340D0"/>
    <w:rsid w:val="3BCA418F"/>
    <w:rsid w:val="3BD034C7"/>
    <w:rsid w:val="3BDA3DBC"/>
    <w:rsid w:val="3BE90E10"/>
    <w:rsid w:val="3BFB0327"/>
    <w:rsid w:val="3C2B53B9"/>
    <w:rsid w:val="3C2D3B81"/>
    <w:rsid w:val="3C365ECA"/>
    <w:rsid w:val="3C380947"/>
    <w:rsid w:val="3C3C2CEB"/>
    <w:rsid w:val="3C544FDA"/>
    <w:rsid w:val="3C640E0E"/>
    <w:rsid w:val="3C923082"/>
    <w:rsid w:val="3CA13237"/>
    <w:rsid w:val="3CB00A68"/>
    <w:rsid w:val="3CBC0066"/>
    <w:rsid w:val="3CBD5FAE"/>
    <w:rsid w:val="3CBE64F1"/>
    <w:rsid w:val="3CCF13AD"/>
    <w:rsid w:val="3CE4238B"/>
    <w:rsid w:val="3CF61444"/>
    <w:rsid w:val="3CF65823"/>
    <w:rsid w:val="3D004ED6"/>
    <w:rsid w:val="3D0354C7"/>
    <w:rsid w:val="3D133BC9"/>
    <w:rsid w:val="3D2818A3"/>
    <w:rsid w:val="3D402263"/>
    <w:rsid w:val="3D515511"/>
    <w:rsid w:val="3D6D132D"/>
    <w:rsid w:val="3D7359C7"/>
    <w:rsid w:val="3D7642C9"/>
    <w:rsid w:val="3DBB2EF1"/>
    <w:rsid w:val="3DC2199E"/>
    <w:rsid w:val="3DC236A2"/>
    <w:rsid w:val="3DC711A7"/>
    <w:rsid w:val="3DD04A9B"/>
    <w:rsid w:val="3DDA6D42"/>
    <w:rsid w:val="3DFA6BAD"/>
    <w:rsid w:val="3DFC0CC4"/>
    <w:rsid w:val="3DFF13D1"/>
    <w:rsid w:val="3E055E2F"/>
    <w:rsid w:val="3E0C4C83"/>
    <w:rsid w:val="3E3A7708"/>
    <w:rsid w:val="3E5373B2"/>
    <w:rsid w:val="3E5650B4"/>
    <w:rsid w:val="3E644A3A"/>
    <w:rsid w:val="3E7347F4"/>
    <w:rsid w:val="3E746699"/>
    <w:rsid w:val="3E774E9F"/>
    <w:rsid w:val="3E7B4E6D"/>
    <w:rsid w:val="3E856E60"/>
    <w:rsid w:val="3ECE73D3"/>
    <w:rsid w:val="3ED5386B"/>
    <w:rsid w:val="3ED66C0B"/>
    <w:rsid w:val="3EE04EC0"/>
    <w:rsid w:val="3EF83C43"/>
    <w:rsid w:val="3EFF1E72"/>
    <w:rsid w:val="3F01664D"/>
    <w:rsid w:val="3F03359F"/>
    <w:rsid w:val="3F175FC8"/>
    <w:rsid w:val="3F2B668A"/>
    <w:rsid w:val="3F2D7544"/>
    <w:rsid w:val="3F4A04F6"/>
    <w:rsid w:val="3F72341B"/>
    <w:rsid w:val="3F7E52AF"/>
    <w:rsid w:val="3F8F4761"/>
    <w:rsid w:val="3FD010A5"/>
    <w:rsid w:val="3FD26C28"/>
    <w:rsid w:val="3FD90626"/>
    <w:rsid w:val="3FE25597"/>
    <w:rsid w:val="3FE86036"/>
    <w:rsid w:val="3FF752EF"/>
    <w:rsid w:val="40006A3B"/>
    <w:rsid w:val="400C3706"/>
    <w:rsid w:val="401B166F"/>
    <w:rsid w:val="402327C5"/>
    <w:rsid w:val="40235EC7"/>
    <w:rsid w:val="40402F80"/>
    <w:rsid w:val="404E6BC5"/>
    <w:rsid w:val="405227FD"/>
    <w:rsid w:val="40553DBB"/>
    <w:rsid w:val="407121F8"/>
    <w:rsid w:val="40727205"/>
    <w:rsid w:val="40740EA4"/>
    <w:rsid w:val="407868C4"/>
    <w:rsid w:val="407B71B3"/>
    <w:rsid w:val="40850DCD"/>
    <w:rsid w:val="40A86A35"/>
    <w:rsid w:val="40B02347"/>
    <w:rsid w:val="40B34353"/>
    <w:rsid w:val="40B845E5"/>
    <w:rsid w:val="40C9499F"/>
    <w:rsid w:val="41001558"/>
    <w:rsid w:val="4108158E"/>
    <w:rsid w:val="410A2C4A"/>
    <w:rsid w:val="412F1013"/>
    <w:rsid w:val="41484CB0"/>
    <w:rsid w:val="41581722"/>
    <w:rsid w:val="419532ED"/>
    <w:rsid w:val="419B3D5B"/>
    <w:rsid w:val="41AC1D9C"/>
    <w:rsid w:val="41BC3617"/>
    <w:rsid w:val="41DD01B8"/>
    <w:rsid w:val="42394836"/>
    <w:rsid w:val="423D24D5"/>
    <w:rsid w:val="4242619A"/>
    <w:rsid w:val="424F6EDD"/>
    <w:rsid w:val="428D2478"/>
    <w:rsid w:val="42B13B32"/>
    <w:rsid w:val="42B20782"/>
    <w:rsid w:val="42B707C1"/>
    <w:rsid w:val="42DF035B"/>
    <w:rsid w:val="42F2086D"/>
    <w:rsid w:val="42F547BF"/>
    <w:rsid w:val="430A6BB3"/>
    <w:rsid w:val="431516B3"/>
    <w:rsid w:val="43175F09"/>
    <w:rsid w:val="43312245"/>
    <w:rsid w:val="434527B5"/>
    <w:rsid w:val="435E1BE6"/>
    <w:rsid w:val="438F37A9"/>
    <w:rsid w:val="43994B5C"/>
    <w:rsid w:val="43A35BAC"/>
    <w:rsid w:val="43A950A2"/>
    <w:rsid w:val="43AD0B77"/>
    <w:rsid w:val="43B37475"/>
    <w:rsid w:val="43CA7211"/>
    <w:rsid w:val="43F7565F"/>
    <w:rsid w:val="440E38E3"/>
    <w:rsid w:val="44312E59"/>
    <w:rsid w:val="443C706E"/>
    <w:rsid w:val="4452439C"/>
    <w:rsid w:val="44540F0B"/>
    <w:rsid w:val="445F7B15"/>
    <w:rsid w:val="44675F50"/>
    <w:rsid w:val="446E2683"/>
    <w:rsid w:val="447177A7"/>
    <w:rsid w:val="448B7CB5"/>
    <w:rsid w:val="44917C93"/>
    <w:rsid w:val="44BD24BB"/>
    <w:rsid w:val="44DB7CB3"/>
    <w:rsid w:val="44DC5A71"/>
    <w:rsid w:val="44FB0E45"/>
    <w:rsid w:val="45021BC2"/>
    <w:rsid w:val="45441242"/>
    <w:rsid w:val="45523D87"/>
    <w:rsid w:val="455F4C9C"/>
    <w:rsid w:val="45950B66"/>
    <w:rsid w:val="45961040"/>
    <w:rsid w:val="45BF4853"/>
    <w:rsid w:val="46136785"/>
    <w:rsid w:val="46141491"/>
    <w:rsid w:val="462D5278"/>
    <w:rsid w:val="462E578F"/>
    <w:rsid w:val="46487CC3"/>
    <w:rsid w:val="464C4AA1"/>
    <w:rsid w:val="46790C77"/>
    <w:rsid w:val="467D2F71"/>
    <w:rsid w:val="46876CFF"/>
    <w:rsid w:val="46A40FB9"/>
    <w:rsid w:val="46D41E44"/>
    <w:rsid w:val="46D93C52"/>
    <w:rsid w:val="46DF25F3"/>
    <w:rsid w:val="470F0FB2"/>
    <w:rsid w:val="472D41FA"/>
    <w:rsid w:val="472F3155"/>
    <w:rsid w:val="47353225"/>
    <w:rsid w:val="479A09A1"/>
    <w:rsid w:val="47A04331"/>
    <w:rsid w:val="47A4662F"/>
    <w:rsid w:val="47A5261F"/>
    <w:rsid w:val="47AE2F53"/>
    <w:rsid w:val="47BB1643"/>
    <w:rsid w:val="47CE46DA"/>
    <w:rsid w:val="47E018D3"/>
    <w:rsid w:val="47E20A61"/>
    <w:rsid w:val="47E94F34"/>
    <w:rsid w:val="48024F22"/>
    <w:rsid w:val="481C5138"/>
    <w:rsid w:val="48202D76"/>
    <w:rsid w:val="483F2CF3"/>
    <w:rsid w:val="48505BAA"/>
    <w:rsid w:val="48731A5E"/>
    <w:rsid w:val="488A4398"/>
    <w:rsid w:val="48CA5E73"/>
    <w:rsid w:val="48CC4877"/>
    <w:rsid w:val="48CE1A00"/>
    <w:rsid w:val="490F3065"/>
    <w:rsid w:val="491E029B"/>
    <w:rsid w:val="49216A6A"/>
    <w:rsid w:val="49222D62"/>
    <w:rsid w:val="492E16ED"/>
    <w:rsid w:val="49502142"/>
    <w:rsid w:val="49521992"/>
    <w:rsid w:val="49551295"/>
    <w:rsid w:val="496938E0"/>
    <w:rsid w:val="496B37C1"/>
    <w:rsid w:val="49756357"/>
    <w:rsid w:val="49882B35"/>
    <w:rsid w:val="498E62B7"/>
    <w:rsid w:val="49B76F66"/>
    <w:rsid w:val="49BA7D50"/>
    <w:rsid w:val="49C44B33"/>
    <w:rsid w:val="49D17660"/>
    <w:rsid w:val="49F273C7"/>
    <w:rsid w:val="4A160844"/>
    <w:rsid w:val="4A7C2A22"/>
    <w:rsid w:val="4A8604DA"/>
    <w:rsid w:val="4AA73636"/>
    <w:rsid w:val="4AAA62AF"/>
    <w:rsid w:val="4AC42BC6"/>
    <w:rsid w:val="4AFE0DE7"/>
    <w:rsid w:val="4B094C89"/>
    <w:rsid w:val="4B104ABC"/>
    <w:rsid w:val="4B143D25"/>
    <w:rsid w:val="4B255188"/>
    <w:rsid w:val="4B2D6CE4"/>
    <w:rsid w:val="4B2E5E75"/>
    <w:rsid w:val="4B383F2F"/>
    <w:rsid w:val="4B3872E6"/>
    <w:rsid w:val="4B625E65"/>
    <w:rsid w:val="4B627D35"/>
    <w:rsid w:val="4B677E52"/>
    <w:rsid w:val="4B7F05B4"/>
    <w:rsid w:val="4B871486"/>
    <w:rsid w:val="4BA7167D"/>
    <w:rsid w:val="4BBD255E"/>
    <w:rsid w:val="4C140DFC"/>
    <w:rsid w:val="4C3B5420"/>
    <w:rsid w:val="4C3E45A0"/>
    <w:rsid w:val="4C515227"/>
    <w:rsid w:val="4C5604A8"/>
    <w:rsid w:val="4C5E07EC"/>
    <w:rsid w:val="4C6D0539"/>
    <w:rsid w:val="4C8721E5"/>
    <w:rsid w:val="4C987828"/>
    <w:rsid w:val="4CA149AE"/>
    <w:rsid w:val="4CA50C40"/>
    <w:rsid w:val="4CC87216"/>
    <w:rsid w:val="4D0465E3"/>
    <w:rsid w:val="4D071C38"/>
    <w:rsid w:val="4D2744ED"/>
    <w:rsid w:val="4D285BED"/>
    <w:rsid w:val="4D35388D"/>
    <w:rsid w:val="4D3741CF"/>
    <w:rsid w:val="4D425A95"/>
    <w:rsid w:val="4D7A0B6A"/>
    <w:rsid w:val="4DA255E7"/>
    <w:rsid w:val="4DA408AB"/>
    <w:rsid w:val="4DB0348E"/>
    <w:rsid w:val="4DC915FF"/>
    <w:rsid w:val="4DD81B64"/>
    <w:rsid w:val="4DDE1762"/>
    <w:rsid w:val="4DEE15CF"/>
    <w:rsid w:val="4DF51404"/>
    <w:rsid w:val="4DF766ED"/>
    <w:rsid w:val="4DF91B55"/>
    <w:rsid w:val="4E5633F4"/>
    <w:rsid w:val="4E6B485C"/>
    <w:rsid w:val="4E7740D9"/>
    <w:rsid w:val="4EAC0AFF"/>
    <w:rsid w:val="4EC2021D"/>
    <w:rsid w:val="4EFB7AAC"/>
    <w:rsid w:val="4F001CA3"/>
    <w:rsid w:val="4F084B37"/>
    <w:rsid w:val="4F1971FB"/>
    <w:rsid w:val="4F33564A"/>
    <w:rsid w:val="4F51625A"/>
    <w:rsid w:val="4F7E0E2B"/>
    <w:rsid w:val="4F805D9D"/>
    <w:rsid w:val="4F840BE7"/>
    <w:rsid w:val="4F914334"/>
    <w:rsid w:val="4FA710B2"/>
    <w:rsid w:val="4FAC2061"/>
    <w:rsid w:val="4FBB221F"/>
    <w:rsid w:val="4FD0657E"/>
    <w:rsid w:val="4FF85F86"/>
    <w:rsid w:val="50036E2B"/>
    <w:rsid w:val="500A77B8"/>
    <w:rsid w:val="501E4753"/>
    <w:rsid w:val="504B0DF0"/>
    <w:rsid w:val="50510E8E"/>
    <w:rsid w:val="50617662"/>
    <w:rsid w:val="50637ABB"/>
    <w:rsid w:val="5064084A"/>
    <w:rsid w:val="50795BD3"/>
    <w:rsid w:val="50924D47"/>
    <w:rsid w:val="50BD1398"/>
    <w:rsid w:val="50E75DFA"/>
    <w:rsid w:val="50FD13B2"/>
    <w:rsid w:val="510B691D"/>
    <w:rsid w:val="511518E7"/>
    <w:rsid w:val="51282D4D"/>
    <w:rsid w:val="51327881"/>
    <w:rsid w:val="51472876"/>
    <w:rsid w:val="514A53B9"/>
    <w:rsid w:val="51506626"/>
    <w:rsid w:val="51670B73"/>
    <w:rsid w:val="51676314"/>
    <w:rsid w:val="5169168B"/>
    <w:rsid w:val="516B43B1"/>
    <w:rsid w:val="51926DC2"/>
    <w:rsid w:val="51A85918"/>
    <w:rsid w:val="51B92337"/>
    <w:rsid w:val="51C47CF6"/>
    <w:rsid w:val="51D414D1"/>
    <w:rsid w:val="520D14C5"/>
    <w:rsid w:val="521B4163"/>
    <w:rsid w:val="525E1C82"/>
    <w:rsid w:val="529641A0"/>
    <w:rsid w:val="529F3F6F"/>
    <w:rsid w:val="52AD6634"/>
    <w:rsid w:val="52B421B3"/>
    <w:rsid w:val="52C9608E"/>
    <w:rsid w:val="52CB4CEE"/>
    <w:rsid w:val="52CD7045"/>
    <w:rsid w:val="52D9178A"/>
    <w:rsid w:val="52F14073"/>
    <w:rsid w:val="52FA02A6"/>
    <w:rsid w:val="52FC6789"/>
    <w:rsid w:val="52FE30BB"/>
    <w:rsid w:val="531303E0"/>
    <w:rsid w:val="532F01FB"/>
    <w:rsid w:val="535366CE"/>
    <w:rsid w:val="5356206E"/>
    <w:rsid w:val="536E79E7"/>
    <w:rsid w:val="5375123D"/>
    <w:rsid w:val="537C2CE1"/>
    <w:rsid w:val="538B500A"/>
    <w:rsid w:val="538E0FE0"/>
    <w:rsid w:val="5395369D"/>
    <w:rsid w:val="53B60B8E"/>
    <w:rsid w:val="53F2046D"/>
    <w:rsid w:val="53F313A1"/>
    <w:rsid w:val="54207E6C"/>
    <w:rsid w:val="546C2EE1"/>
    <w:rsid w:val="547C6FFE"/>
    <w:rsid w:val="54A4764F"/>
    <w:rsid w:val="54AC329D"/>
    <w:rsid w:val="54B40D35"/>
    <w:rsid w:val="54CE2507"/>
    <w:rsid w:val="54D87345"/>
    <w:rsid w:val="54F13598"/>
    <w:rsid w:val="55041845"/>
    <w:rsid w:val="55173EFE"/>
    <w:rsid w:val="55181CD2"/>
    <w:rsid w:val="552359D0"/>
    <w:rsid w:val="55474BFE"/>
    <w:rsid w:val="555A759A"/>
    <w:rsid w:val="555B7D08"/>
    <w:rsid w:val="55613604"/>
    <w:rsid w:val="556F7282"/>
    <w:rsid w:val="557837FF"/>
    <w:rsid w:val="557C2EDD"/>
    <w:rsid w:val="55932908"/>
    <w:rsid w:val="559B4141"/>
    <w:rsid w:val="55BB65AB"/>
    <w:rsid w:val="55BD4A9F"/>
    <w:rsid w:val="55D01D97"/>
    <w:rsid w:val="55D9013B"/>
    <w:rsid w:val="55DF5A77"/>
    <w:rsid w:val="55E9733B"/>
    <w:rsid w:val="55F611D5"/>
    <w:rsid w:val="55F75347"/>
    <w:rsid w:val="55F94D61"/>
    <w:rsid w:val="56311EFB"/>
    <w:rsid w:val="56435B11"/>
    <w:rsid w:val="56526251"/>
    <w:rsid w:val="565A7E63"/>
    <w:rsid w:val="565E0057"/>
    <w:rsid w:val="56745085"/>
    <w:rsid w:val="56783354"/>
    <w:rsid w:val="569A4DDE"/>
    <w:rsid w:val="56A37ED2"/>
    <w:rsid w:val="56C20B3A"/>
    <w:rsid w:val="56D951D8"/>
    <w:rsid w:val="56DD0905"/>
    <w:rsid w:val="57114B38"/>
    <w:rsid w:val="57244B18"/>
    <w:rsid w:val="572F65FC"/>
    <w:rsid w:val="57323D7B"/>
    <w:rsid w:val="5754428D"/>
    <w:rsid w:val="576C2A72"/>
    <w:rsid w:val="57775C20"/>
    <w:rsid w:val="577A519D"/>
    <w:rsid w:val="5784017F"/>
    <w:rsid w:val="578753C2"/>
    <w:rsid w:val="578877B2"/>
    <w:rsid w:val="57931253"/>
    <w:rsid w:val="579345B0"/>
    <w:rsid w:val="579B183D"/>
    <w:rsid w:val="57C026C5"/>
    <w:rsid w:val="57DE5E13"/>
    <w:rsid w:val="57E553DC"/>
    <w:rsid w:val="57EA6028"/>
    <w:rsid w:val="57EF6871"/>
    <w:rsid w:val="57F801CA"/>
    <w:rsid w:val="57FE4B2C"/>
    <w:rsid w:val="5806770C"/>
    <w:rsid w:val="58156620"/>
    <w:rsid w:val="58232E06"/>
    <w:rsid w:val="58235FFE"/>
    <w:rsid w:val="58240039"/>
    <w:rsid w:val="5828231D"/>
    <w:rsid w:val="582F5FB6"/>
    <w:rsid w:val="58446A9A"/>
    <w:rsid w:val="58521B64"/>
    <w:rsid w:val="58797B85"/>
    <w:rsid w:val="588564CC"/>
    <w:rsid w:val="588E1B2D"/>
    <w:rsid w:val="58AC1B34"/>
    <w:rsid w:val="58DE4F52"/>
    <w:rsid w:val="58E87853"/>
    <w:rsid w:val="58F975F9"/>
    <w:rsid w:val="590F5BA6"/>
    <w:rsid w:val="59452EB4"/>
    <w:rsid w:val="595A121E"/>
    <w:rsid w:val="595E5E8F"/>
    <w:rsid w:val="59723C37"/>
    <w:rsid w:val="598E354F"/>
    <w:rsid w:val="599D777F"/>
    <w:rsid w:val="59AD6642"/>
    <w:rsid w:val="59C75644"/>
    <w:rsid w:val="59CB7E5E"/>
    <w:rsid w:val="5A0D1E1B"/>
    <w:rsid w:val="5A1358BE"/>
    <w:rsid w:val="5A9B60CF"/>
    <w:rsid w:val="5AE252AD"/>
    <w:rsid w:val="5AE801DE"/>
    <w:rsid w:val="5AF07FF7"/>
    <w:rsid w:val="5AF422E5"/>
    <w:rsid w:val="5AF96FC8"/>
    <w:rsid w:val="5B055B8B"/>
    <w:rsid w:val="5B1D042A"/>
    <w:rsid w:val="5B2D15C6"/>
    <w:rsid w:val="5B512B1F"/>
    <w:rsid w:val="5B6434B9"/>
    <w:rsid w:val="5B8F7B3A"/>
    <w:rsid w:val="5B9550BC"/>
    <w:rsid w:val="5B9A384A"/>
    <w:rsid w:val="5BA16ADF"/>
    <w:rsid w:val="5BBD7DE5"/>
    <w:rsid w:val="5BC53FD9"/>
    <w:rsid w:val="5BD76CE2"/>
    <w:rsid w:val="5BF243F2"/>
    <w:rsid w:val="5BF26431"/>
    <w:rsid w:val="5C006D9C"/>
    <w:rsid w:val="5C007245"/>
    <w:rsid w:val="5C01190A"/>
    <w:rsid w:val="5C0E728A"/>
    <w:rsid w:val="5C1C7139"/>
    <w:rsid w:val="5C24009C"/>
    <w:rsid w:val="5C3077A3"/>
    <w:rsid w:val="5C5460F8"/>
    <w:rsid w:val="5C7965BA"/>
    <w:rsid w:val="5C8D0454"/>
    <w:rsid w:val="5C904D30"/>
    <w:rsid w:val="5C906A11"/>
    <w:rsid w:val="5CC910D9"/>
    <w:rsid w:val="5CCA2991"/>
    <w:rsid w:val="5CCC7D4D"/>
    <w:rsid w:val="5CCF110B"/>
    <w:rsid w:val="5CF8206E"/>
    <w:rsid w:val="5D223BCF"/>
    <w:rsid w:val="5D272F84"/>
    <w:rsid w:val="5D3F4902"/>
    <w:rsid w:val="5D443734"/>
    <w:rsid w:val="5D4906B8"/>
    <w:rsid w:val="5D4B6511"/>
    <w:rsid w:val="5D573AAA"/>
    <w:rsid w:val="5D7A7A29"/>
    <w:rsid w:val="5DBB6E1B"/>
    <w:rsid w:val="5DD5283F"/>
    <w:rsid w:val="5DE15F89"/>
    <w:rsid w:val="5DFB535E"/>
    <w:rsid w:val="5E014018"/>
    <w:rsid w:val="5E2D54F3"/>
    <w:rsid w:val="5E3E3656"/>
    <w:rsid w:val="5E4A1248"/>
    <w:rsid w:val="5E6B7E83"/>
    <w:rsid w:val="5E780DEA"/>
    <w:rsid w:val="5E7B7D5D"/>
    <w:rsid w:val="5E8E5422"/>
    <w:rsid w:val="5E967BC7"/>
    <w:rsid w:val="5EB20C6B"/>
    <w:rsid w:val="5EBF641D"/>
    <w:rsid w:val="5ECB1097"/>
    <w:rsid w:val="5EDA541B"/>
    <w:rsid w:val="5EDF0BC7"/>
    <w:rsid w:val="5EE31366"/>
    <w:rsid w:val="5EEB572F"/>
    <w:rsid w:val="5EF67CAA"/>
    <w:rsid w:val="5EF70321"/>
    <w:rsid w:val="5EFA7DCF"/>
    <w:rsid w:val="5EFC49EE"/>
    <w:rsid w:val="5F1159EE"/>
    <w:rsid w:val="5F132495"/>
    <w:rsid w:val="5F183785"/>
    <w:rsid w:val="5F192C0B"/>
    <w:rsid w:val="5F34718C"/>
    <w:rsid w:val="5F43573D"/>
    <w:rsid w:val="5F4A5F40"/>
    <w:rsid w:val="5F503BD5"/>
    <w:rsid w:val="5F631FA8"/>
    <w:rsid w:val="5F716B9B"/>
    <w:rsid w:val="5F8806CE"/>
    <w:rsid w:val="5FB46BDD"/>
    <w:rsid w:val="5FB47922"/>
    <w:rsid w:val="5FC10EFF"/>
    <w:rsid w:val="5FC8581F"/>
    <w:rsid w:val="5FDE65E5"/>
    <w:rsid w:val="5FE75659"/>
    <w:rsid w:val="5FE90AF8"/>
    <w:rsid w:val="5FF37799"/>
    <w:rsid w:val="5FFC4FB3"/>
    <w:rsid w:val="5FFC7F84"/>
    <w:rsid w:val="600327E7"/>
    <w:rsid w:val="60371E1A"/>
    <w:rsid w:val="6042150C"/>
    <w:rsid w:val="606C030D"/>
    <w:rsid w:val="60843483"/>
    <w:rsid w:val="609304D5"/>
    <w:rsid w:val="609C1A2D"/>
    <w:rsid w:val="60D92107"/>
    <w:rsid w:val="61050DE0"/>
    <w:rsid w:val="610B0AE6"/>
    <w:rsid w:val="61121ABD"/>
    <w:rsid w:val="612E38D8"/>
    <w:rsid w:val="614A2142"/>
    <w:rsid w:val="61531DCE"/>
    <w:rsid w:val="615A7A18"/>
    <w:rsid w:val="615F337C"/>
    <w:rsid w:val="61675E10"/>
    <w:rsid w:val="618064C2"/>
    <w:rsid w:val="618B3038"/>
    <w:rsid w:val="618F2C7E"/>
    <w:rsid w:val="61920A41"/>
    <w:rsid w:val="61943B9E"/>
    <w:rsid w:val="61A65FA2"/>
    <w:rsid w:val="61BC23D0"/>
    <w:rsid w:val="61D050B8"/>
    <w:rsid w:val="621B0D5E"/>
    <w:rsid w:val="623C66DF"/>
    <w:rsid w:val="625D4569"/>
    <w:rsid w:val="626226F9"/>
    <w:rsid w:val="62665DC7"/>
    <w:rsid w:val="627033F5"/>
    <w:rsid w:val="627175DC"/>
    <w:rsid w:val="62930E52"/>
    <w:rsid w:val="62B70B96"/>
    <w:rsid w:val="62B81295"/>
    <w:rsid w:val="62C85B43"/>
    <w:rsid w:val="62CA4312"/>
    <w:rsid w:val="62D7433C"/>
    <w:rsid w:val="62E155D8"/>
    <w:rsid w:val="631D4B61"/>
    <w:rsid w:val="63212F32"/>
    <w:rsid w:val="632F6127"/>
    <w:rsid w:val="63570CC7"/>
    <w:rsid w:val="63586237"/>
    <w:rsid w:val="635A4BE4"/>
    <w:rsid w:val="635F1FDF"/>
    <w:rsid w:val="63664ABF"/>
    <w:rsid w:val="636E431C"/>
    <w:rsid w:val="63BE4D5A"/>
    <w:rsid w:val="63C9065D"/>
    <w:rsid w:val="63E4433E"/>
    <w:rsid w:val="63EA0248"/>
    <w:rsid w:val="64041E7F"/>
    <w:rsid w:val="64290F64"/>
    <w:rsid w:val="64377D57"/>
    <w:rsid w:val="64381F14"/>
    <w:rsid w:val="645143E6"/>
    <w:rsid w:val="646129FB"/>
    <w:rsid w:val="64636D0B"/>
    <w:rsid w:val="649815D0"/>
    <w:rsid w:val="64A83DA6"/>
    <w:rsid w:val="64B13D75"/>
    <w:rsid w:val="64BC1880"/>
    <w:rsid w:val="64D25943"/>
    <w:rsid w:val="64E67C56"/>
    <w:rsid w:val="64F777DD"/>
    <w:rsid w:val="64FB0616"/>
    <w:rsid w:val="6528709F"/>
    <w:rsid w:val="652D5E7F"/>
    <w:rsid w:val="6538259F"/>
    <w:rsid w:val="65507243"/>
    <w:rsid w:val="65540F05"/>
    <w:rsid w:val="656027FF"/>
    <w:rsid w:val="65A76F5C"/>
    <w:rsid w:val="65A77101"/>
    <w:rsid w:val="65C753D5"/>
    <w:rsid w:val="65C91022"/>
    <w:rsid w:val="65CD5355"/>
    <w:rsid w:val="65D70FC8"/>
    <w:rsid w:val="660B1CF4"/>
    <w:rsid w:val="660D1534"/>
    <w:rsid w:val="661917C5"/>
    <w:rsid w:val="66457E51"/>
    <w:rsid w:val="666925FA"/>
    <w:rsid w:val="667E4076"/>
    <w:rsid w:val="6680376E"/>
    <w:rsid w:val="66824F18"/>
    <w:rsid w:val="66914004"/>
    <w:rsid w:val="66B920EF"/>
    <w:rsid w:val="66B971D1"/>
    <w:rsid w:val="66DD4FD8"/>
    <w:rsid w:val="66E63B5C"/>
    <w:rsid w:val="66ED31EA"/>
    <w:rsid w:val="66F14F6F"/>
    <w:rsid w:val="66F5579B"/>
    <w:rsid w:val="670D3A4A"/>
    <w:rsid w:val="6725236A"/>
    <w:rsid w:val="672A7FDE"/>
    <w:rsid w:val="672B2DF7"/>
    <w:rsid w:val="6735506E"/>
    <w:rsid w:val="6735593B"/>
    <w:rsid w:val="67361532"/>
    <w:rsid w:val="673E3934"/>
    <w:rsid w:val="674839DC"/>
    <w:rsid w:val="674C28A2"/>
    <w:rsid w:val="675D3DC9"/>
    <w:rsid w:val="67702BF9"/>
    <w:rsid w:val="67864A7F"/>
    <w:rsid w:val="678C79BF"/>
    <w:rsid w:val="67976D28"/>
    <w:rsid w:val="679A54EE"/>
    <w:rsid w:val="67D10605"/>
    <w:rsid w:val="67D13F01"/>
    <w:rsid w:val="67E0269A"/>
    <w:rsid w:val="67E748E0"/>
    <w:rsid w:val="67F5278C"/>
    <w:rsid w:val="67F75E8E"/>
    <w:rsid w:val="68085304"/>
    <w:rsid w:val="68277913"/>
    <w:rsid w:val="68293C00"/>
    <w:rsid w:val="683F34DB"/>
    <w:rsid w:val="684129B5"/>
    <w:rsid w:val="6848420E"/>
    <w:rsid w:val="689C7721"/>
    <w:rsid w:val="68B01327"/>
    <w:rsid w:val="68E34B21"/>
    <w:rsid w:val="68F13B92"/>
    <w:rsid w:val="691867A1"/>
    <w:rsid w:val="691A3243"/>
    <w:rsid w:val="69221EE6"/>
    <w:rsid w:val="69260B3E"/>
    <w:rsid w:val="69416797"/>
    <w:rsid w:val="696C42BB"/>
    <w:rsid w:val="697A3A8B"/>
    <w:rsid w:val="698A6B0F"/>
    <w:rsid w:val="698F5E55"/>
    <w:rsid w:val="69BF5FB8"/>
    <w:rsid w:val="69C46AC8"/>
    <w:rsid w:val="69CC14E2"/>
    <w:rsid w:val="69CD6393"/>
    <w:rsid w:val="69D37CB3"/>
    <w:rsid w:val="69EC4C9C"/>
    <w:rsid w:val="69F1784C"/>
    <w:rsid w:val="6A057BA5"/>
    <w:rsid w:val="6A085BC1"/>
    <w:rsid w:val="6A1C7593"/>
    <w:rsid w:val="6A1F7A9F"/>
    <w:rsid w:val="6A38427B"/>
    <w:rsid w:val="6A3B1F14"/>
    <w:rsid w:val="6A3D3241"/>
    <w:rsid w:val="6A76421E"/>
    <w:rsid w:val="6A782EAA"/>
    <w:rsid w:val="6A7D12F1"/>
    <w:rsid w:val="6A8D51AE"/>
    <w:rsid w:val="6AC50D10"/>
    <w:rsid w:val="6AC76160"/>
    <w:rsid w:val="6AD3150D"/>
    <w:rsid w:val="6AF3139D"/>
    <w:rsid w:val="6AFA6684"/>
    <w:rsid w:val="6AFB6699"/>
    <w:rsid w:val="6B0B0E23"/>
    <w:rsid w:val="6B0F435B"/>
    <w:rsid w:val="6B1C49E7"/>
    <w:rsid w:val="6B2A3BF0"/>
    <w:rsid w:val="6B435052"/>
    <w:rsid w:val="6B4873EB"/>
    <w:rsid w:val="6B5657F4"/>
    <w:rsid w:val="6B5F24B5"/>
    <w:rsid w:val="6B6A0FC2"/>
    <w:rsid w:val="6B704279"/>
    <w:rsid w:val="6B731F50"/>
    <w:rsid w:val="6BB24687"/>
    <w:rsid w:val="6BC92163"/>
    <w:rsid w:val="6BCC1B09"/>
    <w:rsid w:val="6BCC62EE"/>
    <w:rsid w:val="6BD930DC"/>
    <w:rsid w:val="6BE82C6E"/>
    <w:rsid w:val="6BEC58FB"/>
    <w:rsid w:val="6BF53230"/>
    <w:rsid w:val="6BF7258C"/>
    <w:rsid w:val="6C0621AA"/>
    <w:rsid w:val="6C2C13AC"/>
    <w:rsid w:val="6C5628B0"/>
    <w:rsid w:val="6C667711"/>
    <w:rsid w:val="6C79584D"/>
    <w:rsid w:val="6CDA7FFC"/>
    <w:rsid w:val="6CDB746B"/>
    <w:rsid w:val="6CE23C20"/>
    <w:rsid w:val="6CEF7A41"/>
    <w:rsid w:val="6CF30063"/>
    <w:rsid w:val="6D020EA1"/>
    <w:rsid w:val="6D1D762A"/>
    <w:rsid w:val="6D3F3D3E"/>
    <w:rsid w:val="6D4A3B5E"/>
    <w:rsid w:val="6D6043CF"/>
    <w:rsid w:val="6D777815"/>
    <w:rsid w:val="6D9F68C2"/>
    <w:rsid w:val="6DBA1DDD"/>
    <w:rsid w:val="6DC15D92"/>
    <w:rsid w:val="6DC620EB"/>
    <w:rsid w:val="6DDA0CCD"/>
    <w:rsid w:val="6DE74779"/>
    <w:rsid w:val="6DE96A32"/>
    <w:rsid w:val="6E0F1211"/>
    <w:rsid w:val="6E157FB3"/>
    <w:rsid w:val="6E1665D7"/>
    <w:rsid w:val="6E2F42BB"/>
    <w:rsid w:val="6E6A7916"/>
    <w:rsid w:val="6E732CEA"/>
    <w:rsid w:val="6E966FA7"/>
    <w:rsid w:val="6EDD26C3"/>
    <w:rsid w:val="6EE70A89"/>
    <w:rsid w:val="6EF00E07"/>
    <w:rsid w:val="6F015689"/>
    <w:rsid w:val="6F3756F4"/>
    <w:rsid w:val="6F3B7D08"/>
    <w:rsid w:val="6F596421"/>
    <w:rsid w:val="6F5B1BC6"/>
    <w:rsid w:val="6F6B7D6A"/>
    <w:rsid w:val="6F717B6E"/>
    <w:rsid w:val="6FB30B76"/>
    <w:rsid w:val="6FBD0858"/>
    <w:rsid w:val="6FC72452"/>
    <w:rsid w:val="6FEA5836"/>
    <w:rsid w:val="6FF7274D"/>
    <w:rsid w:val="702072A7"/>
    <w:rsid w:val="706D1EE1"/>
    <w:rsid w:val="708C3687"/>
    <w:rsid w:val="709241E9"/>
    <w:rsid w:val="70AB0E5A"/>
    <w:rsid w:val="70B15795"/>
    <w:rsid w:val="70E17C9E"/>
    <w:rsid w:val="70E461E3"/>
    <w:rsid w:val="70EA7B43"/>
    <w:rsid w:val="70F754D7"/>
    <w:rsid w:val="70F825BD"/>
    <w:rsid w:val="71020BA8"/>
    <w:rsid w:val="710C7745"/>
    <w:rsid w:val="71204568"/>
    <w:rsid w:val="713B6599"/>
    <w:rsid w:val="71483DC9"/>
    <w:rsid w:val="71615427"/>
    <w:rsid w:val="71963E0C"/>
    <w:rsid w:val="71AC4F7C"/>
    <w:rsid w:val="71B07F93"/>
    <w:rsid w:val="71B92E85"/>
    <w:rsid w:val="71BF6C50"/>
    <w:rsid w:val="71DE24DA"/>
    <w:rsid w:val="72117333"/>
    <w:rsid w:val="723B3342"/>
    <w:rsid w:val="724C04FD"/>
    <w:rsid w:val="724E3562"/>
    <w:rsid w:val="725306B2"/>
    <w:rsid w:val="726A3BAF"/>
    <w:rsid w:val="72962C16"/>
    <w:rsid w:val="729647EA"/>
    <w:rsid w:val="72E1752D"/>
    <w:rsid w:val="72FA01FD"/>
    <w:rsid w:val="7300143B"/>
    <w:rsid w:val="73261897"/>
    <w:rsid w:val="733A4E0D"/>
    <w:rsid w:val="73651F5B"/>
    <w:rsid w:val="736D431B"/>
    <w:rsid w:val="736F79D2"/>
    <w:rsid w:val="73725529"/>
    <w:rsid w:val="73951F43"/>
    <w:rsid w:val="73994B04"/>
    <w:rsid w:val="73A015C2"/>
    <w:rsid w:val="73A50BE7"/>
    <w:rsid w:val="73A913CF"/>
    <w:rsid w:val="73AF1870"/>
    <w:rsid w:val="73D12F0B"/>
    <w:rsid w:val="73E554FA"/>
    <w:rsid w:val="73EB1497"/>
    <w:rsid w:val="74000A47"/>
    <w:rsid w:val="740B65B5"/>
    <w:rsid w:val="74484526"/>
    <w:rsid w:val="745B45EA"/>
    <w:rsid w:val="745D0DBF"/>
    <w:rsid w:val="74764C03"/>
    <w:rsid w:val="74885606"/>
    <w:rsid w:val="74902EB2"/>
    <w:rsid w:val="74975D14"/>
    <w:rsid w:val="74A01C8B"/>
    <w:rsid w:val="74B06B64"/>
    <w:rsid w:val="74BB6271"/>
    <w:rsid w:val="74D21BE2"/>
    <w:rsid w:val="751115BE"/>
    <w:rsid w:val="751F2214"/>
    <w:rsid w:val="75380027"/>
    <w:rsid w:val="7541582A"/>
    <w:rsid w:val="754E2408"/>
    <w:rsid w:val="75580F8A"/>
    <w:rsid w:val="755901B1"/>
    <w:rsid w:val="75641A99"/>
    <w:rsid w:val="75676430"/>
    <w:rsid w:val="75740E00"/>
    <w:rsid w:val="757F162D"/>
    <w:rsid w:val="7580114E"/>
    <w:rsid w:val="7588768D"/>
    <w:rsid w:val="758D251F"/>
    <w:rsid w:val="7595771B"/>
    <w:rsid w:val="7598022F"/>
    <w:rsid w:val="75A65C89"/>
    <w:rsid w:val="75BE31B8"/>
    <w:rsid w:val="75C05C2C"/>
    <w:rsid w:val="75CC2D4E"/>
    <w:rsid w:val="75CD3E0E"/>
    <w:rsid w:val="75DE6456"/>
    <w:rsid w:val="75F71430"/>
    <w:rsid w:val="7616035B"/>
    <w:rsid w:val="763A080C"/>
    <w:rsid w:val="765A6478"/>
    <w:rsid w:val="76641507"/>
    <w:rsid w:val="76D34B25"/>
    <w:rsid w:val="76EB5B39"/>
    <w:rsid w:val="76ED2AF4"/>
    <w:rsid w:val="76FB57D0"/>
    <w:rsid w:val="77020138"/>
    <w:rsid w:val="77042F0B"/>
    <w:rsid w:val="77101C07"/>
    <w:rsid w:val="77132632"/>
    <w:rsid w:val="771478EB"/>
    <w:rsid w:val="772233A9"/>
    <w:rsid w:val="77242260"/>
    <w:rsid w:val="77337668"/>
    <w:rsid w:val="773E5387"/>
    <w:rsid w:val="77407904"/>
    <w:rsid w:val="775A5AE2"/>
    <w:rsid w:val="776F4F23"/>
    <w:rsid w:val="77737A1D"/>
    <w:rsid w:val="777672A6"/>
    <w:rsid w:val="778A7010"/>
    <w:rsid w:val="77AB696F"/>
    <w:rsid w:val="77AE5E18"/>
    <w:rsid w:val="77B14E94"/>
    <w:rsid w:val="77B61C34"/>
    <w:rsid w:val="77CD2C53"/>
    <w:rsid w:val="77D159B6"/>
    <w:rsid w:val="77DA3CA3"/>
    <w:rsid w:val="77E359DC"/>
    <w:rsid w:val="780363C1"/>
    <w:rsid w:val="78156E78"/>
    <w:rsid w:val="782D5EAF"/>
    <w:rsid w:val="784B3EF6"/>
    <w:rsid w:val="78604CAD"/>
    <w:rsid w:val="787A694B"/>
    <w:rsid w:val="78833E10"/>
    <w:rsid w:val="78857F16"/>
    <w:rsid w:val="7897138D"/>
    <w:rsid w:val="789F1175"/>
    <w:rsid w:val="78A335C7"/>
    <w:rsid w:val="78A515AE"/>
    <w:rsid w:val="78BD3E72"/>
    <w:rsid w:val="78FD0D3A"/>
    <w:rsid w:val="790842E1"/>
    <w:rsid w:val="790B385D"/>
    <w:rsid w:val="79176CCC"/>
    <w:rsid w:val="791C1026"/>
    <w:rsid w:val="792778C8"/>
    <w:rsid w:val="7931734A"/>
    <w:rsid w:val="793C27DB"/>
    <w:rsid w:val="794B5A64"/>
    <w:rsid w:val="79590719"/>
    <w:rsid w:val="796124CE"/>
    <w:rsid w:val="79645956"/>
    <w:rsid w:val="79700230"/>
    <w:rsid w:val="797308E0"/>
    <w:rsid w:val="797B4788"/>
    <w:rsid w:val="7982765F"/>
    <w:rsid w:val="798F6CFA"/>
    <w:rsid w:val="79983041"/>
    <w:rsid w:val="79A13D21"/>
    <w:rsid w:val="79A764DD"/>
    <w:rsid w:val="79A84264"/>
    <w:rsid w:val="79AF2036"/>
    <w:rsid w:val="79BD46A6"/>
    <w:rsid w:val="79C945D5"/>
    <w:rsid w:val="7A36081C"/>
    <w:rsid w:val="7A431A7E"/>
    <w:rsid w:val="7A5F4006"/>
    <w:rsid w:val="7A670818"/>
    <w:rsid w:val="7A91133C"/>
    <w:rsid w:val="7AB327A7"/>
    <w:rsid w:val="7AD04A1A"/>
    <w:rsid w:val="7ADB38D4"/>
    <w:rsid w:val="7AE0744A"/>
    <w:rsid w:val="7AE453EE"/>
    <w:rsid w:val="7B0009F0"/>
    <w:rsid w:val="7B1675F8"/>
    <w:rsid w:val="7B1C17B9"/>
    <w:rsid w:val="7B2044F7"/>
    <w:rsid w:val="7B310E5D"/>
    <w:rsid w:val="7B5A6F58"/>
    <w:rsid w:val="7B6C3958"/>
    <w:rsid w:val="7B735B0F"/>
    <w:rsid w:val="7B86255F"/>
    <w:rsid w:val="7BA36090"/>
    <w:rsid w:val="7BA4067E"/>
    <w:rsid w:val="7BC474FD"/>
    <w:rsid w:val="7BC84C59"/>
    <w:rsid w:val="7BDD642E"/>
    <w:rsid w:val="7BF00D94"/>
    <w:rsid w:val="7BF13877"/>
    <w:rsid w:val="7BF85702"/>
    <w:rsid w:val="7C004AA5"/>
    <w:rsid w:val="7C01401C"/>
    <w:rsid w:val="7C0E23DF"/>
    <w:rsid w:val="7C1C1C58"/>
    <w:rsid w:val="7C1E733A"/>
    <w:rsid w:val="7C587C3D"/>
    <w:rsid w:val="7C672719"/>
    <w:rsid w:val="7C686AA1"/>
    <w:rsid w:val="7C782645"/>
    <w:rsid w:val="7C7E290F"/>
    <w:rsid w:val="7C86171B"/>
    <w:rsid w:val="7C876931"/>
    <w:rsid w:val="7C98675C"/>
    <w:rsid w:val="7CA81026"/>
    <w:rsid w:val="7CB33935"/>
    <w:rsid w:val="7CB86B17"/>
    <w:rsid w:val="7CC85AEF"/>
    <w:rsid w:val="7CCA756B"/>
    <w:rsid w:val="7CCD3892"/>
    <w:rsid w:val="7CCD66F5"/>
    <w:rsid w:val="7CD04728"/>
    <w:rsid w:val="7CDA3F1D"/>
    <w:rsid w:val="7CE2746A"/>
    <w:rsid w:val="7CF20ECE"/>
    <w:rsid w:val="7D1E5454"/>
    <w:rsid w:val="7D2950C2"/>
    <w:rsid w:val="7D7246C5"/>
    <w:rsid w:val="7D7A3E7D"/>
    <w:rsid w:val="7D9F26BC"/>
    <w:rsid w:val="7DBE1A3A"/>
    <w:rsid w:val="7DD2691C"/>
    <w:rsid w:val="7DE123D2"/>
    <w:rsid w:val="7DE80900"/>
    <w:rsid w:val="7E021E79"/>
    <w:rsid w:val="7E2870F4"/>
    <w:rsid w:val="7E333FDB"/>
    <w:rsid w:val="7E3563A1"/>
    <w:rsid w:val="7E3842C6"/>
    <w:rsid w:val="7E594170"/>
    <w:rsid w:val="7E647424"/>
    <w:rsid w:val="7E654AE8"/>
    <w:rsid w:val="7E735DA8"/>
    <w:rsid w:val="7E753CCA"/>
    <w:rsid w:val="7E8B460B"/>
    <w:rsid w:val="7E9326F9"/>
    <w:rsid w:val="7E9D42A8"/>
    <w:rsid w:val="7EE10C39"/>
    <w:rsid w:val="7EE20452"/>
    <w:rsid w:val="7F0728CE"/>
    <w:rsid w:val="7F0E6A25"/>
    <w:rsid w:val="7F2F24C5"/>
    <w:rsid w:val="7F395D9C"/>
    <w:rsid w:val="7F443747"/>
    <w:rsid w:val="7F487529"/>
    <w:rsid w:val="7F595FE2"/>
    <w:rsid w:val="7F663CA4"/>
    <w:rsid w:val="7F712118"/>
    <w:rsid w:val="7F79468E"/>
    <w:rsid w:val="7FD47A79"/>
    <w:rsid w:val="7FD9537A"/>
    <w:rsid w:val="7FFF1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numPr>
        <w:ilvl w:val="2"/>
      </w:numPr>
      <w:spacing w:before="240"/>
      <w:outlineLvl w:val="2"/>
    </w:pPr>
    <w:rPr>
      <w:rFonts w:ascii="Arial" w:hAnsi="Arial" w:eastAsia="宋体"/>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Arial" w:hAnsi="Arial" w:eastAsia="宋体"/>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2">
    <w:name w:val="New Paragraph Style"/>
    <w:basedOn w:val="1"/>
    <w:qFormat/>
    <w:uiPriority w:val="0"/>
    <w:pPr>
      <w:widowControl w:val="0"/>
      <w:numPr>
        <w:ilvl w:val="0"/>
        <w:numId w:val="9"/>
      </w:numPr>
      <w:adjustRightInd w:val="0"/>
      <w:spacing w:line="480" w:lineRule="auto"/>
      <w:jc w:val="both"/>
      <w:textAlignment w:val="baseline"/>
    </w:pPr>
    <w:rPr>
      <w:rFonts w:ascii="Courier New" w:hAnsi="Courier New" w:eastAsia="Times New Roman"/>
      <w:bCs/>
      <w:szCs w:val="20"/>
    </w:rPr>
  </w:style>
  <w:style w:type="character" w:customStyle="1" w:styleId="153">
    <w:name w:val="B1 (文字)"/>
    <w:qFormat/>
    <w:locked/>
    <w:uiPriority w:val="0"/>
    <w:rPr>
      <w:rFonts w:ascii="Times New Roman" w:hAnsi="Times New Roman" w:eastAsia="Times New Roman" w:cs="Times New Roman"/>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052B0C2A-1627-499A-BDC9-127781D196CB}">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5</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2022-01-11T03:24:17Z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